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D290">
      <w:pPr>
        <w:autoSpaceDE/>
        <w:autoSpaceDN/>
        <w:spacing w:before="100" w:beforeAutospacing="1" w:after="100" w:afterAutospacing="1" w:line="600" w:lineRule="atLeast"/>
        <w:jc w:val="center"/>
        <w:rPr>
          <w:rFonts w:hint="eastAsia" w:hAnsi="Times New Roman" w:eastAsia="楷体_GB2312"/>
          <w:b/>
          <w:spacing w:val="10"/>
          <w:sz w:val="44"/>
          <w:szCs w:val="52"/>
        </w:rPr>
      </w:pP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44"/>
          <w:szCs w:val="52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水泥有限公司</w:t>
      </w:r>
    </w:p>
    <w:p w14:paraId="64E91689">
      <w:pPr>
        <w:pStyle w:val="6"/>
        <w:ind w:left="0" w:leftChars="0" w:firstLine="0" w:firstLineChars="0"/>
        <w:jc w:val="center"/>
        <w:rPr>
          <w:rFonts w:hint="eastAsia" w:ascii="宋体" w:hAnsi="Times New Roman" w:eastAsia="楷体_GB2312" w:cs="Times New Roman"/>
          <w:b/>
          <w:spacing w:val="10"/>
          <w:kern w:val="0"/>
          <w:sz w:val="44"/>
          <w:szCs w:val="52"/>
          <w:lang w:val="en-US" w:eastAsia="zh-CN" w:bidi="ar-SA"/>
        </w:rPr>
      </w:pPr>
      <w:r>
        <w:rPr>
          <w:rFonts w:hint="eastAsia" w:ascii="宋体" w:hAnsi="Times New Roman" w:eastAsia="楷体_GB2312" w:cs="Times New Roman"/>
          <w:b/>
          <w:spacing w:val="10"/>
          <w:kern w:val="0"/>
          <w:sz w:val="44"/>
          <w:szCs w:val="52"/>
          <w:lang w:val="en-US" w:eastAsia="zh-CN" w:bidi="ar-SA"/>
        </w:rPr>
        <w:t>电力市场化交易代理</w:t>
      </w:r>
    </w:p>
    <w:p w14:paraId="05415F20">
      <w:pPr>
        <w:autoSpaceDE/>
        <w:autoSpaceDN/>
        <w:spacing w:before="100" w:beforeAutospacing="1" w:after="100" w:afterAutospacing="1" w:line="960" w:lineRule="atLeast"/>
        <w:jc w:val="center"/>
        <w:rPr>
          <w:rFonts w:ascii="隶书"/>
          <w:b/>
          <w:bCs/>
          <w:spacing w:val="40"/>
          <w:sz w:val="72"/>
          <w:szCs w:val="72"/>
        </w:rPr>
      </w:pPr>
      <w:r>
        <w:rPr>
          <w:rFonts w:hint="eastAsia" w:hAnsi="Times New Roman"/>
          <w:b/>
          <w:spacing w:val="10"/>
          <w:sz w:val="72"/>
          <w:szCs w:val="72"/>
        </w:rPr>
        <w:t>招标文件</w:t>
      </w:r>
    </w:p>
    <w:p w14:paraId="6BEE534F">
      <w:pPr>
        <w:rPr>
          <w:b/>
        </w:rPr>
      </w:pPr>
      <w:r>
        <w:rPr>
          <w:rFonts w:hint="eastAsia"/>
          <w:b/>
        </w:rPr>
        <w:t xml:space="preserve">  </w:t>
      </w:r>
    </w:p>
    <w:p w14:paraId="20D02839">
      <w:pPr>
        <w:spacing w:before="100" w:beforeAutospacing="1" w:after="100" w:afterAutospacing="1" w:line="440" w:lineRule="atLeast"/>
        <w:jc w:val="center"/>
        <w:rPr>
          <w:rFonts w:hint="default" w:eastAsia="宋体"/>
          <w:sz w:val="36"/>
          <w:lang w:val="en-US" w:eastAsia="zh-CN"/>
        </w:rPr>
      </w:pPr>
      <w:r>
        <w:rPr>
          <w:rFonts w:hint="eastAsia"/>
          <w:sz w:val="36"/>
        </w:rPr>
        <w:t>编号：G</w:t>
      </w:r>
      <w:r>
        <w:rPr>
          <w:rFonts w:hint="eastAsia"/>
          <w:sz w:val="36"/>
          <w:lang w:val="en-US" w:eastAsia="zh-CN"/>
        </w:rPr>
        <w:t>SJL20260901</w:t>
      </w:r>
    </w:p>
    <w:p w14:paraId="19B8C2DC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356B9D3B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5CBF19D8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767377F9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279F4CC0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71858B9D">
      <w:pPr>
        <w:spacing w:before="100" w:beforeAutospacing="1" w:after="100" w:afterAutospacing="1" w:line="440" w:lineRule="atLeast"/>
        <w:jc w:val="center"/>
        <w:rPr>
          <w:sz w:val="32"/>
        </w:rPr>
      </w:pPr>
      <w:r>
        <w:rPr>
          <w:rFonts w:hint="eastAsia"/>
          <w:sz w:val="32"/>
        </w:rPr>
        <w:t>招标单位：</w:t>
      </w:r>
      <w:r>
        <w:rPr>
          <w:rFonts w:hint="eastAsia"/>
          <w:sz w:val="32"/>
          <w:lang w:val="en-US" w:eastAsia="zh-CN"/>
        </w:rPr>
        <w:t>甘肃</w:t>
      </w:r>
      <w:r>
        <w:rPr>
          <w:rFonts w:hint="eastAsia"/>
          <w:sz w:val="32"/>
          <w:lang w:eastAsia="zh-CN"/>
        </w:rPr>
        <w:t>京兰</w:t>
      </w:r>
      <w:r>
        <w:rPr>
          <w:rFonts w:hint="eastAsia"/>
          <w:sz w:val="32"/>
        </w:rPr>
        <w:t>水泥有限公司</w:t>
      </w:r>
    </w:p>
    <w:p w14:paraId="4058D432">
      <w:pPr>
        <w:spacing w:before="100" w:beforeAutospacing="1" w:after="100" w:afterAutospacing="1" w:line="440" w:lineRule="atLeast"/>
        <w:jc w:val="center"/>
        <w:rPr>
          <w:sz w:val="32"/>
        </w:rPr>
      </w:pPr>
      <w:r>
        <w:rPr>
          <w:rFonts w:hint="eastAsia"/>
          <w:sz w:val="32"/>
          <w:lang w:val="en-US" w:eastAsia="zh-CN"/>
        </w:rPr>
        <w:t xml:space="preserve">   </w:t>
      </w:r>
      <w:r>
        <w:rPr>
          <w:rFonts w:hint="eastAsia"/>
          <w:sz w:val="32"/>
        </w:rPr>
        <w:t>2</w:t>
      </w:r>
      <w:r>
        <w:rPr>
          <w:rFonts w:hint="eastAsia"/>
          <w:sz w:val="32"/>
          <w:lang w:val="en-US" w:eastAsia="zh-CN"/>
        </w:rPr>
        <w:t>026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9</w:t>
      </w:r>
      <w:r>
        <w:rPr>
          <w:rFonts w:hint="eastAsia"/>
          <w:sz w:val="32"/>
        </w:rPr>
        <w:t>月</w:t>
      </w:r>
    </w:p>
    <w:p w14:paraId="4E0D8E6B"/>
    <w:p w14:paraId="6BCE756A"/>
    <w:p w14:paraId="2C743C20"/>
    <w:p w14:paraId="24B4EB7D"/>
    <w:p w14:paraId="2ADE7645"/>
    <w:p w14:paraId="254ACB30"/>
    <w:p w14:paraId="215F8863"/>
    <w:p w14:paraId="5F642651"/>
    <w:p w14:paraId="49FFAE2E"/>
    <w:p w14:paraId="0A463318">
      <w:pPr>
        <w:spacing w:before="480" w:after="480" w:line="288" w:lineRule="auto"/>
        <w:ind w:left="0"/>
        <w:rPr>
          <w:rFonts w:ascii="Arial" w:hAnsi="Arial" w:eastAsia="等线" w:cs="Arial"/>
          <w:b/>
          <w:sz w:val="52"/>
        </w:rPr>
      </w:pPr>
    </w:p>
    <w:p w14:paraId="529017D5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  <w:bookmarkStart w:id="0" w:name="heading_0"/>
    </w:p>
    <w:p w14:paraId="774A1AA9">
      <w:pPr>
        <w:spacing w:before="320" w:after="120" w:line="288" w:lineRule="auto"/>
        <w:ind w:left="0"/>
        <w:jc w:val="left"/>
        <w:outlineLvl w:val="1"/>
      </w:pPr>
      <w:r>
        <w:rPr>
          <w:rFonts w:ascii="Arial" w:hAnsi="Arial" w:eastAsia="等线" w:cs="Arial"/>
          <w:b/>
          <w:sz w:val="32"/>
        </w:rPr>
        <w:t>第一章 招标公告</w:t>
      </w:r>
      <w:bookmarkEnd w:id="0"/>
    </w:p>
    <w:p w14:paraId="3496F1A3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一、项目概况</w:t>
      </w:r>
      <w:bookmarkEnd w:id="1"/>
    </w:p>
    <w:p w14:paraId="070EED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1、项目名称：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</w:t>
      </w:r>
      <w:r>
        <w:rPr>
          <w:rFonts w:ascii="Arial" w:hAnsi="Arial" w:eastAsia="等线" w:cs="Arial"/>
          <w:sz w:val="22"/>
        </w:rPr>
        <w:t>公司</w:t>
      </w:r>
      <w:r>
        <w:rPr>
          <w:rFonts w:hint="eastAsia" w:ascii="Arial" w:hAnsi="Arial" w:eastAsia="等线" w:cs="Arial"/>
          <w:sz w:val="22"/>
          <w:lang w:val="en-US" w:eastAsia="zh-CN"/>
        </w:rPr>
        <w:t>2027</w:t>
      </w:r>
      <w:r>
        <w:rPr>
          <w:rFonts w:ascii="Arial" w:hAnsi="Arial" w:eastAsia="等线" w:cs="Arial"/>
          <w:sz w:val="22"/>
        </w:rPr>
        <w:t>年度电力市场化交易代理服务项目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2、服务期限：自合同签订之日起 12 个月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</w:t>
      </w:r>
      <w:r>
        <w:rPr>
          <w:rFonts w:ascii="Arial" w:hAnsi="Arial" w:eastAsia="等线" w:cs="Arial"/>
          <w:sz w:val="22"/>
          <w:highlight w:val="none"/>
        </w:rPr>
        <w:t>预估年用电量：</w:t>
      </w:r>
      <w:r>
        <w:rPr>
          <w:rFonts w:hint="eastAsia" w:ascii="Arial" w:hAnsi="Arial" w:eastAsia="等线" w:cs="Arial"/>
          <w:sz w:val="22"/>
          <w:highlight w:val="none"/>
          <w:lang w:val="en-US" w:eastAsia="zh-CN"/>
        </w:rPr>
        <w:t>预估</w:t>
      </w:r>
      <w:r>
        <w:rPr>
          <w:rFonts w:hint="eastAsia" w:ascii="宋体" w:hAnsi="宋体" w:eastAsia="宋体"/>
          <w:spacing w:val="10"/>
          <w:highlight w:val="none"/>
          <w:lang w:val="en-US" w:eastAsia="zh-CN"/>
        </w:rPr>
        <w:t>5500万kW/h；</w:t>
      </w:r>
      <w:r>
        <w:rPr>
          <w:rFonts w:ascii="Arial" w:hAnsi="Arial" w:eastAsia="等线" w:cs="Arial"/>
          <w:sz w:val="22"/>
          <w:highlight w:val="none"/>
        </w:rPr>
        <w:t>（最终以实际用电量为准）</w:t>
      </w:r>
      <w:r>
        <w:rPr>
          <w:rFonts w:ascii="Arial" w:hAnsi="Arial" w:eastAsia="等线" w:cs="Arial"/>
          <w:sz w:val="22"/>
          <w:highlight w:val="none"/>
        </w:rPr>
        <w:br w:type="textWrapping"/>
      </w:r>
      <w:r>
        <w:rPr>
          <w:rFonts w:ascii="Arial" w:hAnsi="Arial" w:eastAsia="等线" w:cs="Arial"/>
          <w:sz w:val="22"/>
        </w:rPr>
        <w:t>4、服务内容：投标人作为售电代理商，全权代理招标人参与年度、月度、现货、绿电等各类电力市场化交易；开展用电负荷预测、交易申报、电量优化、偏差管控、结算对账、政策分析、绿证办理等全套服务。</w:t>
      </w:r>
    </w:p>
    <w:p w14:paraId="7CC4873B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二、招标方式及招标原则</w:t>
      </w:r>
      <w:bookmarkEnd w:id="2"/>
    </w:p>
    <w:p w14:paraId="56266D0A">
      <w:pPr>
        <w:spacing w:before="120" w:after="120" w:line="288" w:lineRule="auto"/>
        <w:ind w:left="0"/>
        <w:jc w:val="left"/>
        <w:rPr>
          <w:rFonts w:hint="eastAsia" w:ascii="Times New Roman" w:hAnsi="Times New Roman"/>
          <w:lang w:val="en-US" w:eastAsia="zh-CN"/>
        </w:rPr>
      </w:pPr>
      <w:r>
        <w:rPr>
          <w:rFonts w:ascii="Arial" w:hAnsi="Arial" w:eastAsia="等线" w:cs="Arial"/>
          <w:sz w:val="22"/>
        </w:rPr>
        <w:t>1、</w:t>
      </w:r>
      <w:r>
        <w:rPr>
          <w:rFonts w:ascii="Arial" w:hAnsi="Arial" w:eastAsia="等线" w:cs="Arial"/>
          <w:b/>
          <w:sz w:val="22"/>
        </w:rPr>
        <w:t>招标方式：</w:t>
      </w:r>
      <w:r>
        <w:rPr>
          <w:rFonts w:hint="eastAsia" w:ascii="Times New Roman" w:hAnsi="Times New Roman"/>
          <w:lang w:val="en-US" w:eastAsia="zh-CN"/>
        </w:rPr>
        <w:t>供应商报名资质审核+邀标方式</w:t>
      </w:r>
    </w:p>
    <w:p w14:paraId="22972595">
      <w:pPr>
        <w:pStyle w:val="2"/>
        <w:ind w:left="0" w:leftChars="0" w:firstLine="0" w:firstLineChars="0"/>
        <w:rPr>
          <w:rFonts w:hint="default" w:ascii="Times New Roman" w:hAnsi="Times New Roman" w:eastAsiaTheme="minorEastAsia" w:cstheme="minorBidi"/>
          <w:b w:val="0"/>
          <w:bCs w:val="0"/>
          <w:spacing w:val="0"/>
          <w:sz w:val="21"/>
          <w:szCs w:val="22"/>
          <w:lang w:val="en-US" w:eastAsia="zh-CN"/>
        </w:rPr>
      </w:pPr>
      <w:r>
        <w:rPr>
          <w:rFonts w:hint="eastAsia" w:ascii="Times New Roman" w:hAnsi="Times New Roman" w:eastAsiaTheme="minorEastAsia" w:cstheme="minorBidi"/>
          <w:b w:val="0"/>
          <w:bCs w:val="0"/>
          <w:spacing w:val="0"/>
          <w:sz w:val="21"/>
          <w:szCs w:val="22"/>
          <w:lang w:val="en-US" w:eastAsia="zh-CN"/>
        </w:rPr>
        <w:t>1.1  参与报名的供应商进行资格初审(包括实地调研）</w:t>
      </w:r>
    </w:p>
    <w:p w14:paraId="06515336">
      <w:pPr>
        <w:pStyle w:val="2"/>
        <w:ind w:left="0" w:leftChars="0" w:firstLine="0" w:firstLineChars="0"/>
        <w:rPr>
          <w:rFonts w:hint="eastAsia" w:ascii="Times New Roman" w:hAnsi="Times New Roman" w:eastAsiaTheme="minorEastAsia" w:cstheme="minorBidi"/>
          <w:b w:val="0"/>
          <w:bCs w:val="0"/>
          <w:color w:val="auto"/>
          <w:spacing w:val="0"/>
          <w:sz w:val="21"/>
          <w:szCs w:val="22"/>
          <w:lang w:val="en-US" w:eastAsia="zh-CN"/>
        </w:rPr>
      </w:pPr>
      <w:r>
        <w:rPr>
          <w:rFonts w:hint="eastAsia" w:ascii="Times New Roman" w:hAnsi="Times New Roman" w:cstheme="minorBidi"/>
          <w:b w:val="0"/>
          <w:bCs w:val="0"/>
          <w:color w:val="auto"/>
          <w:spacing w:val="0"/>
          <w:sz w:val="21"/>
          <w:szCs w:val="22"/>
          <w:lang w:val="en-US" w:eastAsia="zh-CN"/>
        </w:rPr>
        <w:t>1.2</w:t>
      </w:r>
      <w:r>
        <w:rPr>
          <w:rFonts w:hint="eastAsia" w:ascii="Times New Roman" w:hAnsi="Times New Roman" w:eastAsiaTheme="minorEastAsia" w:cstheme="minorBidi"/>
          <w:b w:val="0"/>
          <w:bCs w:val="0"/>
          <w:color w:val="auto"/>
          <w:spacing w:val="0"/>
          <w:sz w:val="21"/>
          <w:szCs w:val="22"/>
          <w:lang w:val="en-US" w:eastAsia="zh-CN"/>
        </w:rPr>
        <w:t xml:space="preserve"> 提交报名表、公司资质、相关代理业绩</w:t>
      </w:r>
    </w:p>
    <w:p w14:paraId="6A6D8581">
      <w:pPr>
        <w:numPr>
          <w:ilvl w:val="0"/>
          <w:numId w:val="0"/>
        </w:numPr>
        <w:ind w:leftChars="0"/>
        <w:rPr>
          <w:rFonts w:hint="eastAsia" w:ascii="Times New Roman" w:hAnsi="Times New Roman" w:eastAsiaTheme="minorEastAsia" w:cstheme="minorBidi"/>
          <w:b w:val="0"/>
          <w:bCs w:val="0"/>
          <w:color w:val="auto"/>
          <w:spacing w:val="0"/>
          <w:sz w:val="21"/>
          <w:szCs w:val="22"/>
          <w:lang w:val="en-US" w:eastAsia="zh-CN"/>
        </w:rPr>
      </w:pPr>
    </w:p>
    <w:p w14:paraId="7E6A3664">
      <w:pPr>
        <w:numPr>
          <w:ilvl w:val="0"/>
          <w:numId w:val="0"/>
        </w:numPr>
        <w:ind w:leftChars="0"/>
        <w:rPr>
          <w:rFonts w:hint="eastAsia" w:ascii="Times New Roman" w:hAnsi="Times New Roman" w:eastAsiaTheme="minorEastAsia" w:cstheme="minorBidi"/>
          <w:b w:val="0"/>
          <w:bCs w:val="0"/>
          <w:spacing w:val="0"/>
          <w:sz w:val="21"/>
          <w:szCs w:val="22"/>
          <w:lang w:val="en-US" w:eastAsia="zh-CN"/>
        </w:rPr>
      </w:pPr>
      <w:r>
        <w:rPr>
          <w:rFonts w:hint="eastAsia" w:ascii="Times New Roman" w:hAnsi="Times New Roman" w:cstheme="minorBidi"/>
          <w:b w:val="0"/>
          <w:bCs w:val="0"/>
          <w:color w:val="auto"/>
          <w:spacing w:val="0"/>
          <w:sz w:val="21"/>
          <w:szCs w:val="22"/>
          <w:lang w:val="en-US" w:eastAsia="zh-CN"/>
        </w:rPr>
        <w:t>1.3</w:t>
      </w:r>
      <w:r>
        <w:rPr>
          <w:rFonts w:hint="eastAsia" w:ascii="Times New Roman" w:hAnsi="Times New Roman" w:eastAsiaTheme="minorEastAsia" w:cstheme="minorBidi"/>
          <w:b w:val="0"/>
          <w:bCs w:val="0"/>
          <w:color w:val="auto"/>
          <w:spacing w:val="0"/>
          <w:sz w:val="21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Theme="minorEastAsia" w:cstheme="minorBidi"/>
          <w:b w:val="0"/>
          <w:bCs w:val="0"/>
          <w:spacing w:val="0"/>
          <w:sz w:val="21"/>
          <w:szCs w:val="22"/>
          <w:lang w:val="en-US" w:eastAsia="zh-CN"/>
        </w:rPr>
        <w:t>对满足要求的供应商招标方会进行邀标</w:t>
      </w:r>
    </w:p>
    <w:p w14:paraId="239D7E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2、招标原则：公开、公平、公正、择优选择；优先遴选</w:t>
      </w:r>
      <w:r>
        <w:rPr>
          <w:rFonts w:ascii="Arial" w:hAnsi="Arial" w:eastAsia="等线" w:cs="Arial"/>
          <w:b/>
          <w:sz w:val="22"/>
        </w:rPr>
        <w:t>国有背景、市场信誉良好、风险管控能力强、业绩丰富</w:t>
      </w:r>
      <w:r>
        <w:rPr>
          <w:rFonts w:ascii="Arial" w:hAnsi="Arial" w:eastAsia="等线" w:cs="Arial"/>
          <w:sz w:val="22"/>
        </w:rPr>
        <w:t>的售电公司；报价分为</w:t>
      </w:r>
      <w:r>
        <w:rPr>
          <w:rFonts w:ascii="Arial" w:hAnsi="Arial" w:eastAsia="等线" w:cs="Arial"/>
          <w:b/>
          <w:sz w:val="22"/>
        </w:rPr>
        <w:t>交易电价、代理服务费两项独立报价</w:t>
      </w:r>
      <w:r>
        <w:rPr>
          <w:rFonts w:ascii="Arial" w:hAnsi="Arial" w:eastAsia="等线" w:cs="Arial"/>
          <w:sz w:val="22"/>
        </w:rPr>
        <w:t>；重点评审价差收益分成方案、市场偏差考核分担机制、绿电 / 水电 / 火电配比方案。</w:t>
      </w:r>
    </w:p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D3D53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D1D45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color w:val="646A73"/>
                <w:sz w:val="22"/>
              </w:rPr>
              <w:t>不接受只报总价、未将电价与服务费分开报价的投标文件，否则按废标处理。</w:t>
            </w:r>
          </w:p>
        </w:tc>
      </w:tr>
    </w:tbl>
    <w:p w14:paraId="7B248BB2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三、招标时间节点</w:t>
      </w:r>
      <w:bookmarkEnd w:id="3"/>
    </w:p>
    <w:p w14:paraId="008FDFFC">
      <w:pPr>
        <w:spacing w:before="120" w:after="120" w:line="288" w:lineRule="auto"/>
        <w:ind w:left="0"/>
        <w:jc w:val="left"/>
        <w:rPr>
          <w:rFonts w:hint="default" w:eastAsia="等线"/>
          <w:lang w:val="en-US" w:eastAsia="zh-CN"/>
        </w:rPr>
      </w:pPr>
      <w:r>
        <w:rPr>
          <w:rFonts w:ascii="Arial" w:hAnsi="Arial" w:eastAsia="等线" w:cs="Arial"/>
          <w:sz w:val="22"/>
        </w:rPr>
        <w:t>1、招标文件发布时间：2026 年 09 月 0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 xml:space="preserve"> 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2、投标文件递交</w:t>
      </w:r>
      <w:r>
        <w:rPr>
          <w:rFonts w:hint="eastAsia" w:ascii="Arial" w:hAnsi="Arial" w:eastAsia="等线" w:cs="Arial"/>
          <w:sz w:val="22"/>
          <w:lang w:val="en-US" w:eastAsia="zh-CN"/>
        </w:rPr>
        <w:t>方式及</w:t>
      </w:r>
      <w:r>
        <w:rPr>
          <w:rFonts w:ascii="Arial" w:hAnsi="Arial" w:eastAsia="等线" w:cs="Arial"/>
          <w:sz w:val="22"/>
        </w:rPr>
        <w:t>截止时间：</w:t>
      </w:r>
      <w:r>
        <w:rPr>
          <w:rFonts w:hint="eastAsia" w:ascii="Arial" w:hAnsi="Arial" w:eastAsia="等线" w:cs="Arial"/>
          <w:sz w:val="22"/>
          <w:lang w:val="en-US" w:eastAsia="zh-CN"/>
        </w:rPr>
        <w:t>现场投标；</w:t>
      </w:r>
      <w:r>
        <w:rPr>
          <w:rFonts w:ascii="Arial" w:hAnsi="Arial" w:eastAsia="等线" w:cs="Arial"/>
          <w:sz w:val="22"/>
        </w:rPr>
        <w:t xml:space="preserve">2026 年 09 月 </w:t>
      </w:r>
      <w:r>
        <w:rPr>
          <w:rFonts w:hint="eastAsia" w:ascii="Arial" w:hAnsi="Arial" w:eastAsia="等线" w:cs="Arial"/>
          <w:sz w:val="22"/>
          <w:lang w:val="en-US" w:eastAsia="zh-CN"/>
        </w:rPr>
        <w:t>21</w:t>
      </w:r>
      <w:r>
        <w:rPr>
          <w:rFonts w:ascii="Arial" w:hAnsi="Arial" w:eastAsia="等线" w:cs="Arial"/>
          <w:sz w:val="22"/>
        </w:rPr>
        <w:t xml:space="preserve"> 日 </w:t>
      </w:r>
      <w:r>
        <w:rPr>
          <w:rFonts w:hint="eastAsia" w:ascii="Arial" w:hAnsi="Arial" w:eastAsia="等线" w:cs="Arial"/>
          <w:sz w:val="22"/>
          <w:lang w:val="en-US" w:eastAsia="zh-CN"/>
        </w:rPr>
        <w:t>上午9点30分</w:t>
      </w:r>
      <w:r>
        <w:rPr>
          <w:rFonts w:ascii="Arial" w:hAnsi="Arial" w:eastAsia="等线" w:cs="Arial"/>
          <w:sz w:val="22"/>
        </w:rPr>
        <w:t>，逾期递交不予接收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3、开标时间：2026 年 </w:t>
      </w:r>
      <w:r>
        <w:rPr>
          <w:rFonts w:hint="eastAsia" w:ascii="Arial" w:hAnsi="Arial" w:eastAsia="等线" w:cs="Arial"/>
          <w:sz w:val="22"/>
          <w:lang w:val="en-US" w:eastAsia="zh-CN"/>
        </w:rPr>
        <w:t>9</w:t>
      </w:r>
      <w:r>
        <w:rPr>
          <w:rFonts w:ascii="Arial" w:hAnsi="Arial" w:eastAsia="等线" w:cs="Arial"/>
          <w:sz w:val="22"/>
        </w:rPr>
        <w:t xml:space="preserve"> 月</w:t>
      </w:r>
      <w:r>
        <w:rPr>
          <w:rFonts w:hint="eastAsia" w:ascii="Arial" w:hAnsi="Arial" w:eastAsia="等线" w:cs="Arial"/>
          <w:sz w:val="22"/>
          <w:lang w:val="en-US" w:eastAsia="zh-CN"/>
        </w:rPr>
        <w:t>21</w:t>
      </w:r>
      <w:r>
        <w:rPr>
          <w:rFonts w:ascii="Arial" w:hAnsi="Arial" w:eastAsia="等线" w:cs="Arial"/>
          <w:sz w:val="22"/>
        </w:rPr>
        <w:t>日</w:t>
      </w:r>
      <w:r>
        <w:rPr>
          <w:rFonts w:hint="eastAsia" w:ascii="Arial" w:hAnsi="Arial" w:eastAsia="等线" w:cs="Arial"/>
          <w:sz w:val="22"/>
          <w:lang w:val="en-US" w:eastAsia="zh-CN"/>
        </w:rPr>
        <w:t>9点40分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4、开标地点：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</w:t>
      </w:r>
      <w:r>
        <w:rPr>
          <w:rFonts w:ascii="Arial" w:hAnsi="Arial" w:eastAsia="等线" w:cs="Arial"/>
          <w:sz w:val="22"/>
        </w:rPr>
        <w:t>公司</w:t>
      </w:r>
      <w:r>
        <w:rPr>
          <w:rFonts w:hint="eastAsia" w:ascii="Arial" w:hAnsi="Arial" w:eastAsia="等线" w:cs="Arial"/>
          <w:sz w:val="22"/>
          <w:lang w:val="en-US" w:eastAsia="zh-CN"/>
        </w:rPr>
        <w:t>一楼</w:t>
      </w:r>
      <w:r>
        <w:rPr>
          <w:rFonts w:ascii="Arial" w:hAnsi="Arial" w:eastAsia="等线" w:cs="Arial"/>
          <w:sz w:val="22"/>
        </w:rPr>
        <w:t>会议室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5、答疑截止时间：投标截止前</w:t>
      </w:r>
      <w:r>
        <w:rPr>
          <w:rFonts w:hint="eastAsia" w:ascii="Arial" w:hAnsi="Arial" w:eastAsia="等线" w:cs="Arial"/>
          <w:sz w:val="22"/>
          <w:lang w:val="en-US" w:eastAsia="zh-CN"/>
        </w:rPr>
        <w:t>24</w:t>
      </w:r>
      <w:r>
        <w:rPr>
          <w:rFonts w:ascii="Arial" w:hAnsi="Arial" w:eastAsia="等线" w:cs="Arial"/>
          <w:sz w:val="22"/>
        </w:rPr>
        <w:t>小时</w:t>
      </w:r>
      <w:r>
        <w:rPr>
          <w:rFonts w:hint="eastAsia" w:ascii="Arial" w:hAnsi="Arial" w:eastAsia="等线" w:cs="Arial"/>
          <w:sz w:val="22"/>
          <w:lang w:val="en-US" w:eastAsia="zh-CN"/>
        </w:rPr>
        <w:t xml:space="preserve">                                                                  .       6、投标有效期60天</w:t>
      </w:r>
    </w:p>
    <w:p w14:paraId="1294DD26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第二章 投标人资质要求（含国企背景要求）</w:t>
      </w:r>
      <w:bookmarkEnd w:id="4"/>
    </w:p>
    <w:p w14:paraId="55DC7523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★基本资质（全部满足）</w:t>
      </w:r>
      <w:bookmarkEnd w:id="5"/>
    </w:p>
    <w:p w14:paraId="56EE54AA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default" w:ascii="Arial" w:hAnsi="Arial" w:eastAsia="等线" w:cs="Arial"/>
          <w:b w:val="0"/>
          <w:bCs w:val="0"/>
          <w:spacing w:val="0"/>
          <w:sz w:val="22"/>
          <w:szCs w:val="22"/>
          <w:lang w:val="en-US" w:eastAsia="zh-CN"/>
        </w:rPr>
      </w:pPr>
      <w:r>
        <w:rPr>
          <w:rFonts w:ascii="Arial" w:hAnsi="Arial" w:eastAsia="等线" w:cs="Arial"/>
          <w:sz w:val="22"/>
        </w:rPr>
        <w:t>独立法人资格，营业执照合法有效，经营范围包含售电、电力交易代理、能源服务；已在本省电力交易中心完成注册、公示备案，具备合法售电入市资格，提供交易中心注册证明、履约保函 / 履约保险凭证。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</w:t>
      </w:r>
      <w:r>
        <w:rPr>
          <w:rFonts w:ascii="Arial" w:hAnsi="Arial" w:eastAsia="等线" w:cs="Arial"/>
          <w:b/>
          <w:sz w:val="22"/>
        </w:rPr>
        <w:t>优先具有国有独资 / 国有控股背景</w:t>
      </w:r>
      <w:r>
        <w:rPr>
          <w:rFonts w:ascii="Arial" w:hAnsi="Arial" w:eastAsia="等线" w:cs="Arial"/>
          <w:sz w:val="22"/>
        </w:rPr>
        <w:t>，投标文件须提供股权结构证明（国家企业信用信息公示系统截图）；民营企业可以参与投标，但评标中国有背景设置加分项。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3、经营状态正常，无经营异常、无注销、无吊销；近 3 年无失信被执行人、无重大税收违法失信名单、无电力市场违规处罚、无招投标不良记录。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4、财务状况良好，具备足额履约保证金 / 保险，资金实力满足电力市场风险管控要求。</w:t>
      </w:r>
      <w:r>
        <w:rPr>
          <w:rFonts w:hint="eastAsia" w:ascii="Arial" w:hAnsi="Arial" w:eastAsia="等线" w:cs="Arial"/>
          <w:sz w:val="22"/>
          <w:lang w:val="en-US" w:eastAsia="zh-CN"/>
        </w:rPr>
        <w:t xml:space="preserve">                                                                                                                                     5、</w:t>
      </w:r>
      <w:r>
        <w:rPr>
          <w:rFonts w:hint="eastAsia" w:ascii="Arial" w:hAnsi="Arial" w:eastAsia="等线" w:cs="Arial"/>
          <w:b w:val="0"/>
          <w:bCs w:val="0"/>
          <w:spacing w:val="0"/>
          <w:sz w:val="22"/>
          <w:szCs w:val="22"/>
          <w:lang w:val="en-US" w:eastAsia="zh-CN"/>
        </w:rPr>
        <w:t>邀标公司需缴纳投标保证金10万元（招标结束后次月底退还）。</w:t>
      </w:r>
    </w:p>
    <w:p w14:paraId="30316F70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★业绩与人员要求</w:t>
      </w:r>
      <w:bookmarkEnd w:id="6"/>
    </w:p>
    <w:p w14:paraId="4FCD1D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1、近 3 年内至少提供 3 家大型工业企业电力市场化代理服务合同（</w:t>
      </w:r>
      <w:r>
        <w:rPr>
          <w:rFonts w:ascii="Arial" w:hAnsi="Arial" w:eastAsia="等线" w:cs="Arial"/>
          <w:color w:val="auto"/>
          <w:sz w:val="22"/>
          <w:highlight w:val="none"/>
        </w:rPr>
        <w:t>单项目年用电量≥5000 万 kWh），</w:t>
      </w:r>
      <w:r>
        <w:rPr>
          <w:rFonts w:ascii="Arial" w:hAnsi="Arial" w:eastAsia="等线" w:cs="Arial"/>
          <w:sz w:val="22"/>
        </w:rPr>
        <w:t>提供合同扫描件作为业绩证明。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2、配备</w:t>
      </w:r>
      <w:r>
        <w:rPr>
          <w:rFonts w:hint="eastAsia" w:ascii="Arial" w:hAnsi="Arial" w:eastAsia="等线" w:cs="Arial"/>
          <w:sz w:val="22"/>
          <w:lang w:val="en-US" w:eastAsia="zh-CN"/>
        </w:rPr>
        <w:t>1</w:t>
      </w:r>
      <w:r>
        <w:rPr>
          <w:rFonts w:ascii="Arial" w:hAnsi="Arial" w:eastAsia="等线" w:cs="Arial"/>
          <w:sz w:val="22"/>
        </w:rPr>
        <w:t>名专职电力交易专业人员，提供社保缴纳证明，能够按月出具用电分析、偏差预警、市场行情报告。</w:t>
      </w:r>
    </w:p>
    <w:p w14:paraId="1A6CA2EF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★投标必须提交资料（加盖公章）</w:t>
      </w:r>
      <w:bookmarkEnd w:id="7"/>
    </w:p>
    <w:p w14:paraId="240816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1、营业执照、股权证明（国企背景佐证材料）、售电注册备案文件、履约保函材料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2、近三年同类工业用户代理业绩合同复印件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3、信用中国无失信、无环保及市场处罚截图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4、专职交易人员社保及资质证明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5、报价单、价差分成</w:t>
      </w:r>
      <w:r>
        <w:rPr>
          <w:rFonts w:hint="eastAsia" w:ascii="Arial" w:hAnsi="Arial" w:eastAsia="等线" w:cs="Arial"/>
          <w:sz w:val="22"/>
          <w:lang w:val="en-US" w:eastAsia="zh-CN"/>
        </w:rPr>
        <w:t>/分摊</w:t>
      </w:r>
      <w:r>
        <w:rPr>
          <w:rFonts w:ascii="Arial" w:hAnsi="Arial" w:eastAsia="等线" w:cs="Arial"/>
          <w:sz w:val="22"/>
        </w:rPr>
        <w:t>方案、偏差考核方案、电源结构配比方案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6、服务方案、风险防控方案、售后服务承诺</w:t>
      </w:r>
    </w:p>
    <w:p w14:paraId="5DF1F02C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★禁止投标情形</w:t>
      </w:r>
      <w:bookmarkEnd w:id="8"/>
    </w:p>
    <w:p w14:paraId="35CE1E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1、挂靠资质、转借资质、串通投标；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2、在电力市场存在违规被暂停交易资格的企业；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3、近 2 年因交易管理不善造成客户大额偏差考核损失、产生纠纷诉讼的供应商。</w:t>
      </w:r>
    </w:p>
    <w:p w14:paraId="2C3507C5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第三章 报分摊方案</w:t>
      </w:r>
      <w:bookmarkEnd w:id="9"/>
    </w:p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1D0FD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D3B90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color w:val="646A73"/>
                <w:sz w:val="22"/>
              </w:rPr>
              <w:t>报价分为两项独立报价，分别填报，缺一废标：</w:t>
            </w:r>
            <w:r>
              <w:rPr>
                <w:rFonts w:ascii="Arial" w:hAnsi="Arial" w:eastAsia="等线" w:cs="Arial"/>
                <w:color w:val="646A73"/>
                <w:sz w:val="22"/>
              </w:rPr>
              <w:br w:type="textWrapping"/>
            </w:r>
            <w:r>
              <w:rPr>
                <w:rFonts w:ascii="Arial" w:hAnsi="Arial" w:eastAsia="等线" w:cs="Arial"/>
                <w:color w:val="646A73"/>
                <w:sz w:val="22"/>
              </w:rPr>
              <w:t>①市场化</w:t>
            </w:r>
            <w:r>
              <w:rPr>
                <w:rFonts w:ascii="Arial" w:hAnsi="Arial" w:eastAsia="等线" w:cs="Arial"/>
                <w:b/>
                <w:color w:val="646A73"/>
                <w:sz w:val="22"/>
              </w:rPr>
              <w:t>电能量交易单价（元 /kWh，含税）</w:t>
            </w:r>
            <w:r>
              <w:rPr>
                <w:rFonts w:ascii="Arial" w:hAnsi="Arial" w:eastAsia="等线" w:cs="Arial"/>
                <w:color w:val="646A73"/>
                <w:sz w:val="22"/>
              </w:rPr>
              <w:br w:type="textWrapping"/>
            </w:r>
            <w:r>
              <w:rPr>
                <w:rFonts w:ascii="Arial" w:hAnsi="Arial" w:eastAsia="等线" w:cs="Arial"/>
                <w:color w:val="646A73"/>
                <w:sz w:val="22"/>
              </w:rPr>
              <w:t>②</w:t>
            </w:r>
            <w:r>
              <w:rPr>
                <w:rFonts w:ascii="Arial" w:hAnsi="Arial" w:eastAsia="等线" w:cs="Arial"/>
                <w:b/>
                <w:color w:val="646A73"/>
                <w:sz w:val="22"/>
              </w:rPr>
              <w:t>年度代理服务费（元 /kWh，含税）</w:t>
            </w:r>
          </w:p>
        </w:tc>
      </w:tr>
    </w:tbl>
    <w:p w14:paraId="6E240FD5">
      <w:pPr>
        <w:spacing w:before="320" w:after="120" w:line="288" w:lineRule="auto"/>
        <w:ind w:left="0"/>
        <w:jc w:val="left"/>
        <w:outlineLvl w:val="1"/>
      </w:pPr>
      <w:bookmarkStart w:id="10" w:name="heading_14"/>
      <w:r>
        <w:rPr>
          <w:rFonts w:ascii="Arial" w:hAnsi="Arial" w:eastAsia="等线" w:cs="Arial"/>
          <w:b/>
          <w:sz w:val="32"/>
        </w:rPr>
        <w:t>第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四</w:t>
      </w:r>
      <w:r>
        <w:rPr>
          <w:rFonts w:ascii="Arial" w:hAnsi="Arial" w:eastAsia="等线" w:cs="Arial"/>
          <w:b/>
          <w:sz w:val="32"/>
        </w:rPr>
        <w:t>章 电源结构配比要求（绿电、水电、火电比例，投标人在投标文件中明确方案）</w:t>
      </w:r>
      <w:bookmarkEnd w:id="10"/>
    </w:p>
    <w:p w14:paraId="23E3BFBD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1、招标人年度市场化总电量由火电、水电、绿色电力（光伏 / 风电</w:t>
      </w:r>
      <w:r>
        <w:rPr>
          <w:rFonts w:hint="eastAsia" w:ascii="Arial" w:hAnsi="Arial" w:eastAsia="等线" w:cs="Arial"/>
          <w:sz w:val="22"/>
          <w:lang w:eastAsia="zh-CN"/>
        </w:rPr>
        <w:t>）</w:t>
      </w:r>
      <w:r>
        <w:rPr>
          <w:rFonts w:ascii="Arial" w:hAnsi="Arial" w:eastAsia="等线" w:cs="Arial"/>
          <w:sz w:val="22"/>
        </w:rPr>
        <w:t>组合采购，投标人投标文件须提交年度电源配比方案，明确各类电量占比区间，作为评标重要依据。</w:t>
      </w:r>
      <w:bookmarkStart w:id="11" w:name="heading_15"/>
    </w:p>
    <w:p w14:paraId="2B8F327B">
      <w:pPr>
        <w:numPr>
          <w:ilvl w:val="0"/>
          <w:numId w:val="0"/>
        </w:num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32"/>
        </w:rPr>
        <w:t>第</w:t>
      </w:r>
      <w:r>
        <w:rPr>
          <w:rFonts w:hint="eastAsia" w:ascii="Arial" w:hAnsi="Arial" w:eastAsia="等线" w:cs="Arial"/>
          <w:b/>
          <w:color w:val="auto"/>
          <w:sz w:val="32"/>
          <w:u w:val="single"/>
          <w:lang w:val="en-US" w:eastAsia="zh-CN"/>
        </w:rPr>
        <w:t>五</w:t>
      </w:r>
      <w:r>
        <w:rPr>
          <w:rFonts w:ascii="Arial" w:hAnsi="Arial" w:eastAsia="等线" w:cs="Arial"/>
          <w:b/>
          <w:sz w:val="32"/>
        </w:rPr>
        <w:t>章 服务要求、验收标准</w:t>
      </w:r>
      <w:bookmarkEnd w:id="11"/>
    </w:p>
    <w:p w14:paraId="1608A3A1">
      <w:pPr>
        <w:spacing w:before="300" w:after="120" w:line="288" w:lineRule="auto"/>
        <w:ind w:left="0"/>
        <w:jc w:val="left"/>
        <w:outlineLvl w:val="2"/>
      </w:pPr>
      <w:bookmarkStart w:id="12" w:name="heading_16"/>
      <w:r>
        <w:rPr>
          <w:rFonts w:ascii="Arial" w:hAnsi="Arial" w:eastAsia="等线" w:cs="Arial"/>
          <w:b/>
          <w:sz w:val="30"/>
        </w:rPr>
        <w:t>一、服务工作范围</w:t>
      </w:r>
      <w:bookmarkEnd w:id="12"/>
    </w:p>
    <w:p w14:paraId="6DF791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1、收集电力市场政策、行情预判，制定年度 / 月度交易策略；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2、按时完成交易平台注册、合约申报、电量调整、月度对账结算；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3、建立用电负荷台账，开展偏差预警，最大限度降低考核损失；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4、绿电采购、绿证申领、台账整理，提供完整交易结算资料；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5、按月提交市场分析报告、电价复盘、偏差原因分析、优化建议。</w:t>
      </w:r>
    </w:p>
    <w:p w14:paraId="3FCD5291">
      <w:pPr>
        <w:spacing w:before="300" w:after="120" w:line="288" w:lineRule="auto"/>
        <w:ind w:left="0"/>
        <w:jc w:val="left"/>
        <w:outlineLvl w:val="2"/>
      </w:pPr>
      <w:bookmarkStart w:id="13" w:name="heading_17"/>
      <w:r>
        <w:rPr>
          <w:rFonts w:ascii="Arial" w:hAnsi="Arial" w:eastAsia="等线" w:cs="Arial"/>
          <w:b/>
          <w:sz w:val="30"/>
        </w:rPr>
        <w:t>二、验收方法</w:t>
      </w:r>
      <w:bookmarkEnd w:id="13"/>
    </w:p>
    <w:p w14:paraId="1EBD80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1、月度验收：每月提交交易台账、合约清单、电费结算明细、偏差分析报告，招标人进行资料完整性、服务及时性审核。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2、年度综合验收：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（1）核查全年电源结构配比是否达到投标承诺比例；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（2）统计全年价差收益、偏差考核总额，对比市场均价评估服务成效；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（3）资料齐全、按时履约、风险管控到位，无重大经济损失，视为合格。</w:t>
      </w:r>
    </w:p>
    <w:p w14:paraId="4FEA612C">
      <w:pPr>
        <w:spacing w:before="300" w:after="120" w:line="288" w:lineRule="auto"/>
        <w:ind w:left="0"/>
        <w:jc w:val="left"/>
        <w:outlineLvl w:val="2"/>
      </w:pPr>
      <w:bookmarkStart w:id="14" w:name="heading_18"/>
      <w:r>
        <w:rPr>
          <w:rFonts w:ascii="Arial" w:hAnsi="Arial" w:eastAsia="等线" w:cs="Arial"/>
          <w:b/>
          <w:sz w:val="30"/>
        </w:rPr>
        <w:t>三、不合格处置</w:t>
      </w:r>
      <w:bookmarkEnd w:id="14"/>
    </w:p>
    <w:p w14:paraId="298BEC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连续 2 个月预警滞后、策略失误造成大额考核损失，招标人有权扣除服务费、中止合同并追偿损失。</w:t>
      </w:r>
    </w:p>
    <w:p w14:paraId="401381B7">
      <w:pPr>
        <w:spacing w:before="320" w:after="120" w:line="288" w:lineRule="auto"/>
        <w:ind w:left="0"/>
        <w:jc w:val="left"/>
        <w:outlineLvl w:val="1"/>
      </w:pPr>
      <w:bookmarkStart w:id="15" w:name="heading_19"/>
      <w:r>
        <w:rPr>
          <w:rFonts w:ascii="Arial" w:hAnsi="Arial" w:eastAsia="等线" w:cs="Arial"/>
          <w:b/>
          <w:sz w:val="32"/>
        </w:rPr>
        <w:t>第</w:t>
      </w:r>
      <w:r>
        <w:rPr>
          <w:rFonts w:hint="eastAsia" w:ascii="Arial" w:hAnsi="Arial" w:eastAsia="等线" w:cs="Arial"/>
          <w:b/>
          <w:color w:val="auto"/>
          <w:sz w:val="32"/>
          <w:u w:val="single"/>
          <w:lang w:val="en-US" w:eastAsia="zh-CN"/>
        </w:rPr>
        <w:t>六</w:t>
      </w:r>
      <w:r>
        <w:rPr>
          <w:rFonts w:ascii="Arial" w:hAnsi="Arial" w:eastAsia="等线" w:cs="Arial"/>
          <w:b/>
          <w:sz w:val="32"/>
        </w:rPr>
        <w:t>章 投标文件组成及废标条款</w:t>
      </w:r>
      <w:bookmarkEnd w:id="15"/>
    </w:p>
    <w:p w14:paraId="41CAFBCE">
      <w:pPr>
        <w:spacing w:before="300" w:after="120" w:line="288" w:lineRule="auto"/>
        <w:ind w:left="0"/>
        <w:jc w:val="left"/>
        <w:outlineLvl w:val="2"/>
      </w:pPr>
      <w:bookmarkStart w:id="16" w:name="heading_20"/>
      <w:r>
        <w:rPr>
          <w:rFonts w:ascii="Arial" w:hAnsi="Arial" w:eastAsia="等线" w:cs="Arial"/>
          <w:b/>
          <w:sz w:val="30"/>
        </w:rPr>
        <w:t>一、投标文件装订顺序</w:t>
      </w:r>
      <w:bookmarkEnd w:id="16"/>
    </w:p>
    <w:p w14:paraId="0565B5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1、投标函、法定代表人授权委托书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2、全套资质、股权证明（国企背景材料）、售电备案注册资料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3、近三年同类业绩证明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4、报价单（</w:t>
      </w:r>
      <w:r>
        <w:rPr>
          <w:rFonts w:hint="eastAsia" w:ascii="Arial" w:hAnsi="Arial" w:eastAsia="等线" w:cs="Arial"/>
          <w:b/>
          <w:sz w:val="22"/>
          <w:lang w:val="en-US" w:eastAsia="zh-CN"/>
        </w:rPr>
        <w:t>固定模板</w:t>
      </w:r>
      <w:r>
        <w:rPr>
          <w:rFonts w:ascii="Arial" w:hAnsi="Arial" w:eastAsia="等线" w:cs="Arial"/>
          <w:sz w:val="22"/>
        </w:rPr>
        <w:t>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5、价差盈亏分成细化方案、市场偏差考核分担细化方案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6、年度水电 / 火电 / 绿电配比方案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7、交易风险管控方案、月度预警机制、人员配置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8、服务承诺、售后服务、违约赔付承诺</w:t>
      </w:r>
    </w:p>
    <w:p w14:paraId="379A7D03">
      <w:pPr>
        <w:spacing w:before="300" w:after="120" w:line="288" w:lineRule="auto"/>
        <w:ind w:left="0"/>
        <w:jc w:val="left"/>
        <w:outlineLvl w:val="2"/>
      </w:pPr>
      <w:bookmarkStart w:id="17" w:name="heading_21"/>
      <w:r>
        <w:rPr>
          <w:rFonts w:ascii="Arial" w:hAnsi="Arial" w:eastAsia="等线" w:cs="Arial"/>
          <w:b/>
          <w:sz w:val="30"/>
        </w:rPr>
        <w:t>二、废标条件</w:t>
      </w:r>
      <w:bookmarkEnd w:id="17"/>
    </w:p>
    <w:p w14:paraId="7DD04D55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1、资质不全、无本省售电注册资格；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2、报价未将</w:t>
      </w:r>
      <w:r>
        <w:rPr>
          <w:rFonts w:ascii="Arial" w:hAnsi="Arial" w:eastAsia="等线" w:cs="Arial"/>
          <w:b/>
          <w:sz w:val="22"/>
        </w:rPr>
        <w:t>交易电价与代理服务费分开报价</w:t>
      </w:r>
      <w:r>
        <w:rPr>
          <w:rFonts w:ascii="Arial" w:hAnsi="Arial" w:eastAsia="等线" w:cs="Arial"/>
          <w:sz w:val="22"/>
        </w:rPr>
        <w:t>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3、伪造业绩、虚假股权证明、虚假注册材料；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hint="eastAsia" w:ascii="Arial" w:hAnsi="Arial" w:eastAsia="等线" w:cs="Arial"/>
          <w:sz w:val="22"/>
          <w:lang w:val="en-US" w:eastAsia="zh-CN"/>
        </w:rPr>
        <w:t>4</w:t>
      </w:r>
      <w:r>
        <w:rPr>
          <w:rFonts w:ascii="Arial" w:hAnsi="Arial" w:eastAsia="等线" w:cs="Arial"/>
          <w:sz w:val="22"/>
        </w:rPr>
        <w:t>、逾期递交、密封不合格、关键资料缺失。</w:t>
      </w:r>
    </w:p>
    <w:p w14:paraId="3C74156B">
      <w:pPr>
        <w:spacing w:before="300" w:after="120" w:line="288" w:lineRule="auto"/>
        <w:ind w:left="0"/>
        <w:jc w:val="left"/>
        <w:outlineLvl w:val="2"/>
        <w:rPr>
          <w:rFonts w:hint="default" w:ascii="Arial" w:hAnsi="Arial" w:eastAsia="等线" w:cs="Arial"/>
          <w:b/>
          <w:sz w:val="30"/>
          <w:lang w:val="en-US" w:eastAsia="zh-CN"/>
        </w:rPr>
      </w:pPr>
      <w:r>
        <w:rPr>
          <w:rFonts w:hint="eastAsia" w:ascii="Arial" w:hAnsi="Arial" w:eastAsia="等线" w:cs="Arial"/>
          <w:b/>
          <w:sz w:val="30"/>
          <w:lang w:val="en-US" w:eastAsia="zh-CN"/>
        </w:rPr>
        <w:t>三、中标公司履约保函要求</w:t>
      </w:r>
    </w:p>
    <w:p w14:paraId="2A42FB92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Arial" w:hAnsi="Arial" w:eastAsia="等线" w:cs="Arial"/>
          <w:b w:val="0"/>
          <w:bCs w:val="0"/>
          <w:spacing w:val="0"/>
          <w:sz w:val="22"/>
          <w:szCs w:val="22"/>
          <w:lang w:val="en-US" w:eastAsia="zh-CN"/>
        </w:rPr>
        <w:t>1、履约保函:合同签订后，乙方为甲方提供50万元履约保函；乙方违约或者乙方需赔付时，甲方可凭保函正本、书面索赔通知及违约</w:t>
      </w:r>
      <w:bookmarkStart w:id="19" w:name="_GoBack"/>
      <w:bookmarkEnd w:id="19"/>
      <w:r>
        <w:rPr>
          <w:rFonts w:hint="eastAsia" w:ascii="Arial" w:hAnsi="Arial" w:eastAsia="等线" w:cs="Arial"/>
          <w:b w:val="0"/>
          <w:bCs w:val="0"/>
          <w:spacing w:val="0"/>
          <w:sz w:val="22"/>
          <w:szCs w:val="22"/>
          <w:lang w:val="en-US" w:eastAsia="zh-CN"/>
        </w:rPr>
        <w:t>声明直接向银行索赔，无需乙方同意。</w:t>
      </w:r>
    </w:p>
    <w:p w14:paraId="061E3E3C">
      <w:pPr>
        <w:spacing w:before="320" w:after="120" w:line="288" w:lineRule="auto"/>
        <w:ind w:left="0"/>
        <w:jc w:val="left"/>
        <w:outlineLvl w:val="1"/>
      </w:pPr>
      <w:bookmarkStart w:id="18" w:name="heading_22"/>
      <w:r>
        <w:rPr>
          <w:rFonts w:ascii="Arial" w:hAnsi="Arial" w:eastAsia="等线" w:cs="Arial"/>
          <w:b/>
          <w:sz w:val="32"/>
        </w:rPr>
        <w:t>第</w:t>
      </w:r>
      <w:r>
        <w:rPr>
          <w:rFonts w:hint="eastAsia" w:ascii="Arial" w:hAnsi="Arial" w:eastAsia="等线" w:cs="Arial"/>
          <w:b/>
          <w:color w:val="auto"/>
          <w:sz w:val="32"/>
          <w:lang w:val="en-US" w:eastAsia="zh-CN"/>
        </w:rPr>
        <w:t>七</w:t>
      </w:r>
      <w:r>
        <w:rPr>
          <w:rFonts w:ascii="Arial" w:hAnsi="Arial" w:eastAsia="等线" w:cs="Arial"/>
          <w:b/>
          <w:color w:val="auto"/>
          <w:sz w:val="32"/>
        </w:rPr>
        <w:t>章</w:t>
      </w:r>
      <w:r>
        <w:rPr>
          <w:rFonts w:ascii="Arial" w:hAnsi="Arial" w:eastAsia="等线" w:cs="Arial"/>
          <w:b/>
          <w:sz w:val="32"/>
        </w:rPr>
        <w:t xml:space="preserve"> 其他说明</w:t>
      </w:r>
      <w:bookmarkEnd w:id="18"/>
    </w:p>
    <w:p w14:paraId="18D553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1、本招标文件作为后续代理服务合同附件，具备同等法律效力；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2、市场政策、交易规则发生调整时，双方可协商优化风险分担机制；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3、本项目最终解释权归招标单位所有。</w:t>
      </w:r>
    </w:p>
    <w:p w14:paraId="6A8D1857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B562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097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3B869F"/>
    <w:multiLevelType w:val="singleLevel"/>
    <w:tmpl w:val="8D3B869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5DF37EB"/>
    <w:rsid w:val="0AB06E61"/>
    <w:rsid w:val="1F835067"/>
    <w:rsid w:val="23325161"/>
    <w:rsid w:val="236D756C"/>
    <w:rsid w:val="354C59C8"/>
    <w:rsid w:val="3AF86D81"/>
    <w:rsid w:val="6A612D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rPr>
      <w:rFonts w:hint="eastAsia" w:ascii="宋体" w:hAnsi="宋体"/>
      <w:spacing w:val="-4"/>
      <w:szCs w:val="20"/>
    </w:rPr>
  </w:style>
  <w:style w:type="paragraph" w:styleId="3">
    <w:name w:val="Body Text Indent"/>
    <w:basedOn w:val="1"/>
    <w:qFormat/>
    <w:uiPriority w:val="99"/>
    <w:pPr>
      <w:spacing w:line="460" w:lineRule="exact"/>
      <w:ind w:firstLine="570"/>
    </w:pPr>
    <w:rPr>
      <w:b/>
      <w:bCs/>
      <w:sz w:val="28"/>
      <w:szCs w:val="20"/>
    </w:rPr>
  </w:style>
  <w:style w:type="paragraph" w:customStyle="1" w:styleId="6">
    <w:name w:val="NormalIndent"/>
    <w:qFormat/>
    <w:uiPriority w:val="0"/>
    <w:pPr>
      <w:ind w:firstLine="630"/>
      <w:jc w:val="both"/>
      <w:textAlignment w:val="baseline"/>
    </w:pPr>
    <w:rPr>
      <w:rFonts w:ascii="Times New Roman" w:hAnsi="Times New Roman" w:eastAsia="宋体" w:cs="宋体"/>
      <w:sz w:val="1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2255</Words>
  <Characters>2317</Characters>
  <TotalTime>106</TotalTime>
  <ScaleCrop>false</ScaleCrop>
  <LinksUpToDate>false</LinksUpToDate>
  <CharactersWithSpaces>2587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2026-09-01T02:49:00Z</dcterms:created>
  <dc:creator>Apache POI</dc:creator>
  <cp:lastModifiedBy>周杰龙</cp:lastModifiedBy>
  <dcterms:modified xsi:type="dcterms:W3CDTF">2026-09-03T07:56:20Z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{"Label":"1","ContentProducer":"001191110102MACQD9K64010000","ProduceID":"7680393592145873894","ReservedCode1":"","ContentPropagator":"","PropagateID":"","ReservedCode2":""}</vt:lpwstr>
  </property>
  <property fmtid="{D5CDD505-2E9C-101B-9397-08002B2CF9AE}" pid="3" name="KSOTemplateDocerSaveRecord">
    <vt:lpwstr>eyJoZGlkIjoiMjkzYmU3NmQ2NjA1ZGJiM2ExMmVjMDE2YjlmMDRhNTYiLCJ1c2VySWQiOiI2MDM4Njc0MjAifQ==</vt:lpwstr>
  </property>
  <property fmtid="{D5CDD505-2E9C-101B-9397-08002B2CF9AE}" pid="4" name="KSOProductBuildVer">
    <vt:lpwstr>2052-12.1.0.28505</vt:lpwstr>
  </property>
  <property fmtid="{D5CDD505-2E9C-101B-9397-08002B2CF9AE}" pid="5" name="ICV">
    <vt:lpwstr>1E9C76CB65534FD2B4A2CAD0483BA7AC_12</vt:lpwstr>
  </property>
</Properties>
</file>