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D290">
      <w:pPr>
        <w:autoSpaceDE/>
        <w:autoSpaceDN/>
        <w:spacing w:before="100" w:beforeAutospacing="1" w:after="100" w:afterAutospacing="1" w:line="600" w:lineRule="atLeast"/>
        <w:jc w:val="center"/>
        <w:rPr>
          <w:rFonts w:hint="eastAsia" w:hAnsi="Times New Roman" w:eastAsia="楷体_GB2312"/>
          <w:b/>
          <w:spacing w:val="10"/>
          <w:sz w:val="44"/>
          <w:szCs w:val="52"/>
        </w:rPr>
      </w:pPr>
      <w:r>
        <w:rPr>
          <w:rFonts w:hint="eastAsia" w:hAnsi="Times New Roman" w:eastAsia="楷体_GB2312"/>
          <w:b/>
          <w:spacing w:val="10"/>
          <w:sz w:val="44"/>
          <w:szCs w:val="52"/>
          <w:lang w:val="en-US" w:eastAsia="zh-CN"/>
        </w:rPr>
        <w:t>甘肃</w:t>
      </w:r>
      <w:r>
        <w:rPr>
          <w:rFonts w:hint="eastAsia" w:hAnsi="Times New Roman" w:eastAsia="楷体_GB2312"/>
          <w:b/>
          <w:spacing w:val="10"/>
          <w:sz w:val="44"/>
          <w:szCs w:val="52"/>
          <w:lang w:eastAsia="zh-CN"/>
        </w:rPr>
        <w:t>京兰</w:t>
      </w:r>
      <w:r>
        <w:rPr>
          <w:rFonts w:hint="eastAsia" w:hAnsi="Times New Roman" w:eastAsia="楷体_GB2312"/>
          <w:b/>
          <w:spacing w:val="10"/>
          <w:sz w:val="44"/>
          <w:szCs w:val="52"/>
        </w:rPr>
        <w:t>水泥有限公司</w:t>
      </w:r>
    </w:p>
    <w:p w14:paraId="1F465813">
      <w:pPr>
        <w:autoSpaceDE/>
        <w:autoSpaceDN/>
        <w:spacing w:before="100" w:beforeAutospacing="1" w:after="100" w:afterAutospacing="1" w:line="960" w:lineRule="atLeast"/>
        <w:jc w:val="center"/>
        <w:rPr>
          <w:rFonts w:hint="eastAsia" w:ascii="宋体" w:hAnsi="Times New Roman" w:eastAsia="楷体_GB2312" w:cs="Times New Roman"/>
          <w:b/>
          <w:spacing w:val="10"/>
          <w:kern w:val="0"/>
          <w:sz w:val="44"/>
          <w:szCs w:val="52"/>
          <w:lang w:val="en-US" w:eastAsia="zh-CN" w:bidi="ar-SA"/>
        </w:rPr>
      </w:pPr>
      <w:r>
        <w:rPr>
          <w:rFonts w:hint="eastAsia" w:ascii="宋体" w:hAnsi="Times New Roman" w:eastAsia="楷体_GB2312" w:cs="Times New Roman"/>
          <w:b/>
          <w:spacing w:val="10"/>
          <w:kern w:val="0"/>
          <w:sz w:val="44"/>
          <w:szCs w:val="52"/>
          <w:lang w:val="en-US" w:eastAsia="zh-CN" w:bidi="ar-SA"/>
        </w:rPr>
        <w:t>钒钛水渣、脱硫石膏</w:t>
      </w:r>
    </w:p>
    <w:p w14:paraId="05415F20">
      <w:pPr>
        <w:autoSpaceDE/>
        <w:autoSpaceDN/>
        <w:spacing w:before="100" w:beforeAutospacing="1" w:after="100" w:afterAutospacing="1" w:line="960" w:lineRule="atLeast"/>
        <w:jc w:val="center"/>
        <w:rPr>
          <w:rFonts w:ascii="隶书"/>
          <w:b/>
          <w:bCs/>
          <w:spacing w:val="40"/>
          <w:sz w:val="72"/>
          <w:szCs w:val="72"/>
        </w:rPr>
      </w:pPr>
      <w:r>
        <w:rPr>
          <w:rFonts w:hint="eastAsia" w:hAnsi="Times New Roman"/>
          <w:b/>
          <w:spacing w:val="10"/>
          <w:sz w:val="72"/>
          <w:szCs w:val="72"/>
        </w:rPr>
        <w:t>招标文件</w:t>
      </w:r>
    </w:p>
    <w:p w14:paraId="6BEE534F">
      <w:pPr>
        <w:rPr>
          <w:b/>
        </w:rPr>
      </w:pPr>
      <w:r>
        <w:rPr>
          <w:rFonts w:hint="eastAsia"/>
          <w:b/>
        </w:rPr>
        <w:t xml:space="preserve">  </w:t>
      </w:r>
    </w:p>
    <w:p w14:paraId="20D02839">
      <w:pPr>
        <w:spacing w:before="100" w:beforeAutospacing="1" w:after="100" w:afterAutospacing="1" w:line="440" w:lineRule="atLeast"/>
        <w:jc w:val="center"/>
        <w:rPr>
          <w:rFonts w:hint="default" w:eastAsia="宋体"/>
          <w:sz w:val="36"/>
          <w:lang w:val="en-US" w:eastAsia="zh-CN"/>
        </w:rPr>
      </w:pPr>
      <w:r>
        <w:rPr>
          <w:rFonts w:hint="eastAsia"/>
          <w:sz w:val="36"/>
        </w:rPr>
        <w:t>编号：G</w:t>
      </w:r>
      <w:r>
        <w:rPr>
          <w:rFonts w:hint="eastAsia"/>
          <w:sz w:val="36"/>
          <w:lang w:val="en-US" w:eastAsia="zh-CN"/>
        </w:rPr>
        <w:t>SJL20260902</w:t>
      </w:r>
    </w:p>
    <w:p w14:paraId="19B8C2DC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356B9D3B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5CBF19D8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767377F9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279F4CC0">
      <w:pPr>
        <w:spacing w:before="100" w:beforeAutospacing="1" w:after="100" w:afterAutospacing="1" w:line="440" w:lineRule="atLeast"/>
        <w:jc w:val="center"/>
        <w:rPr>
          <w:sz w:val="32"/>
        </w:rPr>
      </w:pPr>
    </w:p>
    <w:p w14:paraId="71858B9D">
      <w:pPr>
        <w:spacing w:before="100" w:beforeAutospacing="1" w:after="100" w:afterAutospacing="1" w:line="440" w:lineRule="atLeast"/>
        <w:jc w:val="center"/>
        <w:rPr>
          <w:sz w:val="32"/>
        </w:rPr>
      </w:pPr>
      <w:r>
        <w:rPr>
          <w:rFonts w:hint="eastAsia"/>
          <w:sz w:val="32"/>
        </w:rPr>
        <w:t>招标单位：</w:t>
      </w:r>
      <w:r>
        <w:rPr>
          <w:rFonts w:hint="eastAsia"/>
          <w:sz w:val="32"/>
          <w:lang w:val="en-US" w:eastAsia="zh-CN"/>
        </w:rPr>
        <w:t>甘肃</w:t>
      </w:r>
      <w:r>
        <w:rPr>
          <w:rFonts w:hint="eastAsia"/>
          <w:sz w:val="32"/>
          <w:lang w:eastAsia="zh-CN"/>
        </w:rPr>
        <w:t>京兰</w:t>
      </w:r>
      <w:r>
        <w:rPr>
          <w:rFonts w:hint="eastAsia"/>
          <w:sz w:val="32"/>
        </w:rPr>
        <w:t>水泥有限公司</w:t>
      </w:r>
    </w:p>
    <w:p w14:paraId="4058D432">
      <w:pPr>
        <w:spacing w:before="100" w:beforeAutospacing="1" w:after="100" w:afterAutospacing="1" w:line="440" w:lineRule="atLeast"/>
        <w:jc w:val="center"/>
        <w:rPr>
          <w:sz w:val="32"/>
        </w:rPr>
      </w:pPr>
      <w:r>
        <w:rPr>
          <w:rFonts w:hint="eastAsia"/>
          <w:sz w:val="32"/>
          <w:lang w:val="en-US" w:eastAsia="zh-CN"/>
        </w:rPr>
        <w:t xml:space="preserve">   </w:t>
      </w:r>
      <w:r>
        <w:rPr>
          <w:rFonts w:hint="eastAsia"/>
          <w:sz w:val="32"/>
        </w:rPr>
        <w:t>2</w:t>
      </w:r>
      <w:r>
        <w:rPr>
          <w:rFonts w:hint="eastAsia"/>
          <w:sz w:val="32"/>
          <w:lang w:val="en-US" w:eastAsia="zh-CN"/>
        </w:rPr>
        <w:t>026</w:t>
      </w:r>
      <w:r>
        <w:rPr>
          <w:rFonts w:hint="eastAsia"/>
          <w:sz w:val="32"/>
        </w:rPr>
        <w:t>年</w:t>
      </w:r>
      <w:r>
        <w:rPr>
          <w:rFonts w:hint="eastAsia"/>
          <w:sz w:val="32"/>
          <w:lang w:val="en-US" w:eastAsia="zh-CN"/>
        </w:rPr>
        <w:t>9</w:t>
      </w:r>
      <w:r>
        <w:rPr>
          <w:rFonts w:hint="eastAsia"/>
          <w:sz w:val="32"/>
        </w:rPr>
        <w:t>月</w:t>
      </w:r>
      <w:bookmarkStart w:id="17" w:name="_GoBack"/>
      <w:bookmarkEnd w:id="17"/>
    </w:p>
    <w:p w14:paraId="4E0D8E6B"/>
    <w:p w14:paraId="6BCE756A"/>
    <w:p w14:paraId="2C743C20"/>
    <w:p w14:paraId="24B4EB7D"/>
    <w:p w14:paraId="2ADE7645"/>
    <w:p w14:paraId="254ACB30"/>
    <w:p w14:paraId="215F8863"/>
    <w:p w14:paraId="5F642651"/>
    <w:p w14:paraId="49FFAE2E"/>
    <w:p w14:paraId="0A463318">
      <w:pPr>
        <w:spacing w:before="480" w:after="480" w:line="288" w:lineRule="auto"/>
        <w:ind w:left="0"/>
        <w:rPr>
          <w:rFonts w:ascii="Arial" w:hAnsi="Arial" w:eastAsia="等线" w:cs="Arial"/>
          <w:b/>
          <w:sz w:val="52"/>
        </w:rPr>
      </w:pPr>
    </w:p>
    <w:p w14:paraId="529017D5">
      <w:pPr>
        <w:spacing w:before="320" w:after="120" w:line="288" w:lineRule="auto"/>
        <w:ind w:left="0"/>
        <w:jc w:val="left"/>
        <w:outlineLvl w:val="1"/>
        <w:rPr>
          <w:rFonts w:ascii="Arial" w:hAnsi="Arial" w:eastAsia="等线" w:cs="Arial"/>
          <w:b/>
          <w:sz w:val="32"/>
        </w:rPr>
      </w:pPr>
    </w:p>
    <w:p w14:paraId="1965F32A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52"/>
        </w:rPr>
        <w:t>钒钛渣、脱硫石膏采购招标文件</w:t>
      </w:r>
    </w:p>
    <w:p w14:paraId="510EBE3B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第一章 招标公告</w:t>
      </w:r>
      <w:bookmarkEnd w:id="0"/>
    </w:p>
    <w:p w14:paraId="1F8E08C4">
      <w:pPr>
        <w:spacing w:before="300" w:after="120" w:line="288" w:lineRule="auto"/>
        <w:ind w:left="0"/>
        <w:jc w:val="left"/>
        <w:outlineLvl w:val="2"/>
      </w:pPr>
      <w:bookmarkStart w:id="1" w:name="heading_1"/>
      <w:r>
        <w:rPr>
          <w:rFonts w:ascii="Arial" w:hAnsi="Arial" w:eastAsia="等线" w:cs="Arial"/>
          <w:b/>
          <w:sz w:val="30"/>
        </w:rPr>
        <w:t>一、项目基本信息</w:t>
      </w:r>
      <w:bookmarkEnd w:id="1"/>
    </w:p>
    <w:p w14:paraId="45B72C0E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项目名称</w:t>
      </w:r>
      <w:r>
        <w:rPr>
          <w:rFonts w:ascii="Arial" w:hAnsi="Arial" w:eastAsia="等线" w:cs="Arial"/>
          <w:sz w:val="22"/>
        </w:rPr>
        <w:t>：钒钛</w:t>
      </w:r>
      <w:r>
        <w:rPr>
          <w:rFonts w:hint="eastAsia" w:ascii="Arial" w:hAnsi="Arial" w:eastAsia="等线" w:cs="Arial"/>
          <w:sz w:val="22"/>
          <w:lang w:val="en-US" w:eastAsia="zh-CN"/>
        </w:rPr>
        <w:t>水</w:t>
      </w:r>
      <w:r>
        <w:rPr>
          <w:rFonts w:ascii="Arial" w:hAnsi="Arial" w:eastAsia="等线" w:cs="Arial"/>
          <w:sz w:val="22"/>
        </w:rPr>
        <w:t>渣、脱硫石膏采购项目</w:t>
      </w:r>
    </w:p>
    <w:p w14:paraId="3AB49BFB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项目性质</w:t>
      </w:r>
      <w:r>
        <w:rPr>
          <w:rFonts w:ascii="Arial" w:hAnsi="Arial" w:eastAsia="等线" w:cs="Arial"/>
          <w:sz w:val="22"/>
        </w:rPr>
        <w:t>：公开招标</w:t>
      </w:r>
    </w:p>
    <w:p w14:paraId="39231742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采购单位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甘肃京兰水泥有限</w:t>
      </w:r>
      <w:r>
        <w:rPr>
          <w:rFonts w:ascii="Arial" w:hAnsi="Arial" w:eastAsia="等线" w:cs="Arial"/>
          <w:sz w:val="22"/>
        </w:rPr>
        <w:t>公司</w:t>
      </w:r>
    </w:p>
    <w:p w14:paraId="116FDFD5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供货地点</w:t>
      </w:r>
      <w:r>
        <w:rPr>
          <w:rFonts w:ascii="Arial" w:hAnsi="Arial" w:eastAsia="等线" w:cs="Arial"/>
          <w:sz w:val="22"/>
        </w:rPr>
        <w:t>：厂区指定料场</w:t>
      </w:r>
    </w:p>
    <w:p w14:paraId="034493F4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供货周期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2026年12月31日</w:t>
      </w:r>
    </w:p>
    <w:p w14:paraId="58CC21AC">
      <w:pPr>
        <w:spacing w:before="300" w:after="120" w:line="288" w:lineRule="auto"/>
        <w:ind w:left="0"/>
        <w:jc w:val="left"/>
        <w:outlineLvl w:val="2"/>
      </w:pPr>
      <w:bookmarkStart w:id="2" w:name="heading_2"/>
      <w:r>
        <w:rPr>
          <w:rFonts w:ascii="Arial" w:hAnsi="Arial" w:eastAsia="等线" w:cs="Arial"/>
          <w:b/>
          <w:sz w:val="30"/>
        </w:rPr>
        <w:t>二、招标时间节点</w:t>
      </w:r>
      <w:bookmarkEnd w:id="2"/>
    </w:p>
    <w:p w14:paraId="3589CC8A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招标文件发布时间</w:t>
      </w:r>
      <w:r>
        <w:rPr>
          <w:rFonts w:ascii="Arial" w:hAnsi="Arial" w:eastAsia="等线" w:cs="Arial"/>
          <w:sz w:val="22"/>
        </w:rPr>
        <w:t>：2026 年 0</w:t>
      </w:r>
      <w:r>
        <w:rPr>
          <w:rFonts w:hint="eastAsia" w:ascii="Arial" w:hAnsi="Arial" w:eastAsia="等线" w:cs="Arial"/>
          <w:sz w:val="22"/>
          <w:lang w:val="en-US" w:eastAsia="zh-CN"/>
        </w:rPr>
        <w:t>9</w:t>
      </w:r>
      <w:r>
        <w:rPr>
          <w:rFonts w:ascii="Arial" w:hAnsi="Arial" w:eastAsia="等线" w:cs="Arial"/>
          <w:sz w:val="22"/>
        </w:rPr>
        <w:t xml:space="preserve"> 月 </w:t>
      </w:r>
      <w:r>
        <w:rPr>
          <w:rFonts w:hint="eastAsia" w:ascii="Arial" w:hAnsi="Arial" w:eastAsia="等线" w:cs="Arial"/>
          <w:sz w:val="22"/>
          <w:lang w:val="en-US" w:eastAsia="zh-CN"/>
        </w:rPr>
        <w:t>5</w:t>
      </w:r>
      <w:r>
        <w:rPr>
          <w:rFonts w:ascii="Arial" w:hAnsi="Arial" w:eastAsia="等线" w:cs="Arial"/>
          <w:sz w:val="22"/>
        </w:rPr>
        <w:t xml:space="preserve"> 日</w:t>
      </w:r>
    </w:p>
    <w:p w14:paraId="40DC7699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投标文件递交截止时间</w:t>
      </w:r>
      <w:r>
        <w:rPr>
          <w:rFonts w:ascii="Arial" w:hAnsi="Arial" w:eastAsia="等线" w:cs="Arial"/>
          <w:sz w:val="22"/>
        </w:rPr>
        <w:t xml:space="preserve">：2026 年 09 月 </w:t>
      </w:r>
      <w:r>
        <w:rPr>
          <w:rFonts w:hint="eastAsia" w:ascii="Arial" w:hAnsi="Arial" w:eastAsia="等线" w:cs="Arial"/>
          <w:sz w:val="22"/>
          <w:lang w:val="en-US" w:eastAsia="zh-CN"/>
        </w:rPr>
        <w:t>11</w:t>
      </w:r>
      <w:r>
        <w:rPr>
          <w:rFonts w:ascii="Arial" w:hAnsi="Arial" w:eastAsia="等线" w:cs="Arial"/>
          <w:sz w:val="22"/>
        </w:rPr>
        <w:t xml:space="preserve"> 日</w:t>
      </w:r>
      <w:r>
        <w:rPr>
          <w:rFonts w:hint="eastAsia" w:ascii="Arial" w:hAnsi="Arial" w:eastAsia="等线" w:cs="Arial"/>
          <w:sz w:val="22"/>
          <w:lang w:val="en-US" w:eastAsia="zh-CN"/>
        </w:rPr>
        <w:t>上午9点30分</w:t>
      </w:r>
      <w:r>
        <w:rPr>
          <w:rFonts w:ascii="Arial" w:hAnsi="Arial" w:eastAsia="等线" w:cs="Arial"/>
          <w:sz w:val="22"/>
        </w:rPr>
        <w:t>（逾期拒收）</w:t>
      </w:r>
    </w:p>
    <w:p w14:paraId="5FF3ACBC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公开开标时间</w:t>
      </w:r>
      <w:r>
        <w:rPr>
          <w:rFonts w:ascii="Arial" w:hAnsi="Arial" w:eastAsia="等线" w:cs="Arial"/>
          <w:sz w:val="22"/>
        </w:rPr>
        <w:t xml:space="preserve">：2026 年 09 月 </w:t>
      </w:r>
      <w:r>
        <w:rPr>
          <w:rFonts w:hint="eastAsia" w:ascii="Arial" w:hAnsi="Arial" w:eastAsia="等线" w:cs="Arial"/>
          <w:sz w:val="22"/>
          <w:lang w:val="en-US" w:eastAsia="zh-CN"/>
        </w:rPr>
        <w:t>11</w:t>
      </w:r>
      <w:r>
        <w:rPr>
          <w:rFonts w:ascii="Arial" w:hAnsi="Arial" w:eastAsia="等线" w:cs="Arial"/>
          <w:sz w:val="22"/>
        </w:rPr>
        <w:t xml:space="preserve"> 日 </w:t>
      </w:r>
      <w:r>
        <w:rPr>
          <w:rFonts w:hint="eastAsia" w:ascii="Arial" w:hAnsi="Arial" w:eastAsia="等线" w:cs="Arial"/>
          <w:sz w:val="22"/>
          <w:lang w:val="en-US" w:eastAsia="zh-CN"/>
        </w:rPr>
        <w:t>上午9点40分</w:t>
      </w:r>
    </w:p>
    <w:p w14:paraId="55FBDADD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开标地点</w:t>
      </w:r>
      <w:r>
        <w:rPr>
          <w:rFonts w:ascii="Arial" w:hAnsi="Arial" w:eastAsia="等线" w:cs="Arial"/>
          <w:sz w:val="22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甘肃京兰水泥有限公司一楼</w:t>
      </w:r>
      <w:r>
        <w:rPr>
          <w:rFonts w:ascii="Arial" w:hAnsi="Arial" w:eastAsia="等线" w:cs="Arial"/>
          <w:sz w:val="22"/>
        </w:rPr>
        <w:t>会议室</w:t>
      </w:r>
    </w:p>
    <w:p w14:paraId="789E53FC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答疑截止时间</w:t>
      </w:r>
      <w:r>
        <w:rPr>
          <w:rFonts w:ascii="Arial" w:hAnsi="Arial" w:eastAsia="等线" w:cs="Arial"/>
          <w:sz w:val="22"/>
        </w:rPr>
        <w:t>：投标截止前 24 小时</w:t>
      </w:r>
    </w:p>
    <w:p w14:paraId="5D00FEE6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三、采购内容及预估量</w:t>
      </w:r>
      <w:bookmarkEnd w:id="3"/>
    </w:p>
    <w:p w14:paraId="6E10D941">
      <w:pPr>
        <w:spacing w:before="120" w:after="120" w:line="288" w:lineRule="auto"/>
        <w:ind w:left="0"/>
        <w:jc w:val="left"/>
        <w:rPr>
          <w:rFonts w:hint="eastAsia" w:eastAsia="等线"/>
          <w:lang w:eastAsia="zh-CN"/>
        </w:rPr>
      </w:pPr>
      <w:r>
        <w:rPr>
          <w:rFonts w:ascii="Arial" w:hAnsi="Arial" w:eastAsia="等线" w:cs="Arial"/>
          <w:sz w:val="22"/>
        </w:rPr>
        <w:t>本次采购分为两个标段，投标人可单投或全投：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b/>
          <w:sz w:val="22"/>
        </w:rPr>
        <w:t>标段一：钒钛</w:t>
      </w:r>
      <w:r>
        <w:rPr>
          <w:rFonts w:hint="eastAsia" w:ascii="Arial" w:hAnsi="Arial" w:eastAsia="等线" w:cs="Arial"/>
          <w:b/>
          <w:sz w:val="22"/>
          <w:lang w:val="en-US" w:eastAsia="zh-CN"/>
        </w:rPr>
        <w:t>水</w:t>
      </w:r>
      <w:r>
        <w:rPr>
          <w:rFonts w:ascii="Arial" w:hAnsi="Arial" w:eastAsia="等线" w:cs="Arial"/>
          <w:b/>
          <w:sz w:val="22"/>
        </w:rPr>
        <w:t>渣</w:t>
      </w:r>
      <w:r>
        <w:rPr>
          <w:rFonts w:ascii="Arial" w:hAnsi="Arial" w:eastAsia="等线" w:cs="Arial"/>
          <w:sz w:val="22"/>
        </w:rPr>
        <w:br w:type="textWrapping"/>
      </w:r>
      <w:r>
        <w:rPr>
          <w:rFonts w:ascii="Arial" w:hAnsi="Arial" w:eastAsia="等线" w:cs="Arial"/>
          <w:b/>
          <w:sz w:val="22"/>
        </w:rPr>
        <w:t>标段二：脱硫石膏</w:t>
      </w:r>
    </w:p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55788A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tcBorders>
              <w:top w:val="nil"/>
              <w:left w:val="single" w:color="BBBFC4" w:sz="18" w:space="0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09F74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color w:val="646A73"/>
                <w:sz w:val="22"/>
              </w:rPr>
              <w:t>采购量为预估量，最终以</w:t>
            </w:r>
            <w:r>
              <w:rPr>
                <w:rFonts w:ascii="Arial" w:hAnsi="Arial" w:eastAsia="等线" w:cs="Arial"/>
                <w:b/>
                <w:color w:val="646A73"/>
                <w:sz w:val="22"/>
              </w:rPr>
              <w:t>实际到货验收合格数量据实结算</w:t>
            </w:r>
            <w:r>
              <w:rPr>
                <w:rFonts w:ascii="Arial" w:hAnsi="Arial" w:eastAsia="等线" w:cs="Arial"/>
                <w:color w:val="646A73"/>
                <w:sz w:val="22"/>
              </w:rPr>
              <w:t>。</w:t>
            </w:r>
          </w:p>
        </w:tc>
      </w:tr>
    </w:tbl>
    <w:p w14:paraId="22D484BC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227B9F24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第二章 投标人资质及准入要求</w:t>
      </w:r>
      <w:bookmarkEnd w:id="4"/>
    </w:p>
    <w:p w14:paraId="453A771A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一、通用资质要求（所有标段必须满足）</w:t>
      </w:r>
      <w:bookmarkEnd w:id="5"/>
    </w:p>
    <w:p w14:paraId="1CBCE2B2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合法经营主体</w:t>
      </w:r>
      <w:r>
        <w:rPr>
          <w:rFonts w:ascii="Arial" w:hAnsi="Arial" w:eastAsia="等线" w:cs="Arial"/>
          <w:sz w:val="22"/>
        </w:rPr>
        <w:t>：具备独立法人资格，持有有效的营业执照，经营范围包含矿产品、工业废渣、建材销售或相关生产加工。</w:t>
      </w:r>
    </w:p>
    <w:p w14:paraId="5841D9AF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经营年限</w:t>
      </w:r>
      <w:r>
        <w:rPr>
          <w:rFonts w:ascii="Arial" w:hAnsi="Arial" w:eastAsia="等线" w:cs="Arial"/>
          <w:sz w:val="22"/>
        </w:rPr>
        <w:t>：注册经营满 1 年及以上，无经营异常、无吊销、无注销记录。</w:t>
      </w:r>
    </w:p>
    <w:p w14:paraId="7B77A998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信誉要求</w:t>
      </w:r>
      <w:r>
        <w:rPr>
          <w:rFonts w:ascii="Arial" w:hAnsi="Arial" w:eastAsia="等线" w:cs="Arial"/>
          <w:sz w:val="22"/>
        </w:rPr>
        <w:t>：近 3 年内无重大质量纠纷、无环保处罚、无失信被执行人记录、无招投标不良记录。</w:t>
      </w:r>
    </w:p>
    <w:p w14:paraId="545FCC8D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履约能力</w:t>
      </w:r>
      <w:r>
        <w:rPr>
          <w:rFonts w:ascii="Arial" w:hAnsi="Arial" w:eastAsia="等线" w:cs="Arial"/>
          <w:sz w:val="22"/>
        </w:rPr>
        <w:t>：具备稳定货源、固定仓储、运输车队或长期物流合作渠道，可满足甲方随叫随到、批量供货需求。</w:t>
      </w:r>
    </w:p>
    <w:p w14:paraId="3E29A374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合规要求</w:t>
      </w:r>
      <w:r>
        <w:rPr>
          <w:rFonts w:ascii="Arial" w:hAnsi="Arial" w:eastAsia="等线" w:cs="Arial"/>
          <w:sz w:val="22"/>
        </w:rPr>
        <w:t>：严格遵守环保、固废处置、运输扬尘管控相关规定，严禁掺杂危废、淤泥、垃圾、杂物。</w:t>
      </w:r>
    </w:p>
    <w:p w14:paraId="339FCC2D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b/>
          <w:bCs/>
          <w:spacing w:val="0"/>
          <w:sz w:val="22"/>
          <w:szCs w:val="22"/>
          <w:lang w:val="en-US" w:eastAsia="zh-CN"/>
        </w:rPr>
        <w:t>投标保证金：</w:t>
      </w:r>
      <w:r>
        <w:rPr>
          <w:rFonts w:hint="eastAsia" w:ascii="Arial" w:hAnsi="Arial" w:eastAsia="等线" w:cs="Arial"/>
          <w:b w:val="0"/>
          <w:bCs w:val="0"/>
          <w:spacing w:val="0"/>
          <w:sz w:val="22"/>
          <w:szCs w:val="22"/>
          <w:lang w:val="en-US" w:eastAsia="zh-CN"/>
        </w:rPr>
        <w:t>投标公司公司需缴纳投标保证金10万元（招标结束后次月底退还）。</w:t>
      </w:r>
    </w:p>
    <w:tbl>
      <w:tblPr>
        <w:tblStyle w:val="4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505468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tcBorders>
              <w:top w:val="nil"/>
              <w:left w:val="single" w:color="BBBFC4" w:sz="18" w:space="0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B342244">
            <w:pPr>
              <w:spacing w:before="120" w:after="120" w:line="288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保证金账户：</w:t>
            </w:r>
          </w:p>
          <w:p w14:paraId="0A6F1B20">
            <w:pPr>
              <w:spacing w:before="120" w:after="120" w:line="288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帐号：101952000353433 </w:t>
            </w:r>
          </w:p>
          <w:p w14:paraId="66B31350">
            <w:pPr>
              <w:spacing w:before="120" w:after="120" w:line="288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账户名称：甘肃京兰水泥有限公司 </w:t>
            </w:r>
          </w:p>
          <w:p w14:paraId="7591A8E2">
            <w:pPr>
              <w:spacing w:before="120" w:after="120" w:line="288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开户行：兰州银行股份有限公司榆中东城支行 </w:t>
            </w:r>
          </w:p>
          <w:p w14:paraId="0694067A">
            <w:pPr>
              <w:spacing w:before="120" w:after="120" w:line="288" w:lineRule="auto"/>
              <w:ind w:left="0"/>
              <w:jc w:val="left"/>
            </w:pPr>
            <w:r>
              <w:rPr>
                <w:rFonts w:hint="eastAsia"/>
              </w:rPr>
              <w:t>行号：313821019020</w:t>
            </w:r>
          </w:p>
        </w:tc>
      </w:tr>
    </w:tbl>
    <w:p w14:paraId="57686C8A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二、专项资质与资料要求（投标必须提供）</w:t>
      </w:r>
      <w:bookmarkEnd w:id="6"/>
    </w:p>
    <w:p w14:paraId="13188FC2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授权书要求资料</w:t>
      </w:r>
      <w:r>
        <w:rPr>
          <w:rFonts w:ascii="Arial" w:hAnsi="Arial" w:eastAsia="等线" w:cs="Arial"/>
          <w:sz w:val="22"/>
        </w:rPr>
        <w:t>（加盖公章）。</w:t>
      </w:r>
    </w:p>
    <w:p w14:paraId="28446FC0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 w:val="0"/>
          <w:bCs/>
          <w:sz w:val="22"/>
        </w:rPr>
        <w:t>产品第三方检测报告（</w:t>
      </w:r>
      <w:r>
        <w:rPr>
          <w:rFonts w:ascii="Arial" w:hAnsi="Arial" w:eastAsia="等线" w:cs="Arial"/>
          <w:sz w:val="22"/>
        </w:rPr>
        <w:t>近 12 个月内有效）。</w:t>
      </w:r>
    </w:p>
    <w:p w14:paraId="0736ADC9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安全生产、合规经营承诺书。</w:t>
      </w:r>
    </w:p>
    <w:p w14:paraId="6F17492B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供货保障方案、运输方案、质量售后承诺。</w:t>
      </w:r>
    </w:p>
    <w:p w14:paraId="3963C185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运输方案必须保证新能源运输车辆占比，要求至少达到50%，无法满足的公司，我司有权废标。</w:t>
      </w:r>
    </w:p>
    <w:p w14:paraId="4DE9DACD">
      <w:pPr>
        <w:spacing w:before="300" w:after="120" w:line="288" w:lineRule="auto"/>
        <w:ind w:left="0"/>
        <w:jc w:val="left"/>
        <w:outlineLvl w:val="2"/>
      </w:pPr>
      <w:bookmarkStart w:id="7" w:name="heading_7"/>
      <w:r>
        <w:rPr>
          <w:rFonts w:ascii="Arial" w:hAnsi="Arial" w:eastAsia="等线" w:cs="Arial"/>
          <w:b/>
          <w:sz w:val="30"/>
        </w:rPr>
        <w:t>三、禁止投标情形</w:t>
      </w:r>
      <w:bookmarkEnd w:id="7"/>
    </w:p>
    <w:p w14:paraId="46245BA1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被列入失信被执行人、重大税收违法失信主体、政府采购严重违法失信名单的企业。</w:t>
      </w:r>
    </w:p>
    <w:p w14:paraId="6A96697D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近 2 年产品出现批量不合格、被甲方或其他企业拒收、索赔记录的供应商。</w:t>
      </w:r>
    </w:p>
    <w:p w14:paraId="39D6BC8F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挂靠资质、转借资质、串标围标企业一律废标。</w:t>
      </w:r>
    </w:p>
    <w:p w14:paraId="52B94E7C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32AB392">
      <w:pPr>
        <w:spacing w:before="320" w:after="120" w:line="288" w:lineRule="auto"/>
        <w:ind w:left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第三章 产品技术质量指标要求</w:t>
      </w:r>
      <w:bookmarkEnd w:id="8"/>
    </w:p>
    <w:p w14:paraId="164FBAFF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一、钒钛渣技术指标（企业验收内控标准）</w:t>
      </w:r>
      <w:bookmarkEnd w:id="9"/>
    </w:p>
    <w:p w14:paraId="34AAD7E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外观干燥、无结块霉变、无生活垃圾、无危废掺杂。</w:t>
      </w:r>
    </w:p>
    <w:p w14:paraId="76B8FB69">
      <w:pPr>
        <w:numPr>
          <w:ilvl w:val="0"/>
          <w:numId w:val="21"/>
        </w:numPr>
        <w:spacing w:before="120" w:after="120" w:line="288" w:lineRule="auto"/>
        <w:jc w:val="left"/>
        <w:rPr>
          <w:b w:val="0"/>
          <w:bCs/>
        </w:rPr>
      </w:pPr>
      <w:r>
        <w:rPr>
          <w:rFonts w:hint="eastAsia" w:ascii="Arial" w:hAnsi="Arial" w:eastAsia="等线" w:cs="Arial"/>
          <w:b/>
          <w:sz w:val="22"/>
          <w:lang w:val="en-US" w:eastAsia="zh-CN"/>
        </w:rPr>
        <w:t xml:space="preserve">   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 xml:space="preserve"> 水分≤10</w:t>
      </w:r>
      <w:r>
        <w:rPr>
          <w:rFonts w:ascii="Arial" w:hAnsi="Arial" w:eastAsia="等线" w:cs="Arial"/>
          <w:b w:val="0"/>
          <w:bCs/>
          <w:sz w:val="22"/>
        </w:rPr>
        <w:t>%</w:t>
      </w:r>
      <w:r>
        <w:rPr>
          <w:rFonts w:hint="eastAsia" w:ascii="Arial" w:hAnsi="Arial" w:eastAsia="等线" w:cs="Arial"/>
          <w:b w:val="0"/>
          <w:bCs/>
          <w:sz w:val="22"/>
          <w:lang w:eastAsia="zh-CN"/>
        </w:rPr>
        <w:t>，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每增加0.1%，扣0.2元/吨；</w:t>
      </w:r>
    </w:p>
    <w:p w14:paraId="4D54E4AD">
      <w:pPr>
        <w:numPr>
          <w:ilvl w:val="0"/>
          <w:numId w:val="21"/>
        </w:numPr>
        <w:spacing w:before="120" w:after="120" w:line="288" w:lineRule="auto"/>
        <w:ind w:left="0" w:leftChars="0" w:firstLine="0" w:firstLineChars="0"/>
        <w:jc w:val="left"/>
        <w:rPr>
          <w:b w:val="0"/>
          <w:bCs/>
        </w:rPr>
      </w:pP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 xml:space="preserve">    28天活性指数≥65</w:t>
      </w:r>
      <w:r>
        <w:rPr>
          <w:rFonts w:ascii="Arial" w:hAnsi="Arial" w:eastAsia="等线" w:cs="Arial"/>
          <w:b w:val="0"/>
          <w:bCs/>
          <w:sz w:val="22"/>
        </w:rPr>
        <w:t>%</w:t>
      </w:r>
      <w:r>
        <w:rPr>
          <w:rFonts w:hint="eastAsia" w:ascii="Arial" w:hAnsi="Arial" w:eastAsia="等线" w:cs="Arial"/>
          <w:b w:val="0"/>
          <w:bCs/>
          <w:sz w:val="22"/>
          <w:lang w:eastAsia="zh-CN"/>
        </w:rPr>
        <w:t>，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每降低0.1%，扣0.2元/吨；</w:t>
      </w:r>
    </w:p>
    <w:p w14:paraId="5E16E126">
      <w:pPr>
        <w:numPr>
          <w:ilvl w:val="0"/>
          <w:numId w:val="21"/>
        </w:numPr>
        <w:spacing w:before="120" w:after="120" w:line="288" w:lineRule="auto"/>
        <w:ind w:left="0" w:leftChars="0" w:firstLine="0" w:firstLineChars="0"/>
        <w:jc w:val="left"/>
      </w:pP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 xml:space="preserve">    LOSS≤3</w:t>
      </w:r>
      <w:r>
        <w:rPr>
          <w:rFonts w:ascii="Arial" w:hAnsi="Arial" w:eastAsia="等线" w:cs="Arial"/>
          <w:b w:val="0"/>
          <w:bCs/>
          <w:sz w:val="22"/>
        </w:rPr>
        <w:t>%</w:t>
      </w:r>
      <w:r>
        <w:rPr>
          <w:rFonts w:hint="eastAsia" w:ascii="Arial" w:hAnsi="Arial" w:eastAsia="等线" w:cs="Arial"/>
          <w:b w:val="0"/>
          <w:bCs/>
          <w:sz w:val="22"/>
          <w:lang w:eastAsia="zh-CN"/>
        </w:rPr>
        <w:t>，</w:t>
      </w:r>
      <w:r>
        <w:rPr>
          <w:rFonts w:hint="eastAsia" w:ascii="Arial" w:hAnsi="Arial" w:eastAsia="等线" w:cs="Arial"/>
          <w:sz w:val="22"/>
          <w:lang w:val="en-US" w:eastAsia="zh-CN"/>
        </w:rPr>
        <w:t>每增加0.1%，扣0.2元/吨；</w:t>
      </w:r>
    </w:p>
    <w:p w14:paraId="406FE45F">
      <w:p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b/>
          <w:sz w:val="22"/>
          <w:lang w:val="en-US" w:eastAsia="zh-CN"/>
        </w:rPr>
        <w:t>作废</w:t>
      </w:r>
      <w:r>
        <w:rPr>
          <w:rFonts w:ascii="Arial" w:hAnsi="Arial" w:eastAsia="等线" w:cs="Arial"/>
          <w:b/>
          <w:sz w:val="22"/>
        </w:rPr>
        <w:t>标准</w:t>
      </w:r>
    </w:p>
    <w:p w14:paraId="509E5065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水分＞15%，28天活性指数＜62%，LOSS＞5%</w:t>
      </w:r>
      <w:r>
        <w:rPr>
          <w:rFonts w:ascii="Arial" w:hAnsi="Arial" w:eastAsia="等线" w:cs="Arial"/>
          <w:sz w:val="22"/>
        </w:rPr>
        <w:t>关键指标。</w:t>
      </w:r>
    </w:p>
    <w:p w14:paraId="591D55EE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作废是指整车全部作废，包括货款、运费均不予结算</w:t>
      </w:r>
      <w:r>
        <w:rPr>
          <w:rFonts w:ascii="Arial" w:hAnsi="Arial" w:eastAsia="等线" w:cs="Arial"/>
          <w:sz w:val="22"/>
        </w:rPr>
        <w:t>。</w:t>
      </w:r>
    </w:p>
    <w:p w14:paraId="027F8B66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二、脱硫石膏技术指标（</w:t>
      </w:r>
      <w:r>
        <w:rPr>
          <w:rFonts w:ascii="Arial" w:hAnsi="Arial" w:eastAsia="等线" w:cs="Arial"/>
          <w:b/>
          <w:sz w:val="32"/>
        </w:rPr>
        <w:t>行业通用严控标准</w:t>
      </w:r>
      <w:r>
        <w:rPr>
          <w:rFonts w:ascii="Arial" w:hAnsi="Arial" w:eastAsia="等线" w:cs="Arial"/>
          <w:b/>
          <w:sz w:val="30"/>
        </w:rPr>
        <w:t>）</w:t>
      </w:r>
      <w:bookmarkEnd w:id="10"/>
    </w:p>
    <w:p w14:paraId="52A17361">
      <w:pPr>
        <w:numPr>
          <w:ilvl w:val="0"/>
          <w:numId w:val="0"/>
        </w:numPr>
        <w:spacing w:before="120" w:after="120" w:line="288" w:lineRule="auto"/>
        <w:jc w:val="left"/>
        <w:rPr>
          <w:b w:val="0"/>
          <w:bCs/>
        </w:rPr>
      </w:pP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1.     粒度30-50mm;</w:t>
      </w:r>
    </w:p>
    <w:p w14:paraId="654EF5BC">
      <w:pPr>
        <w:numPr>
          <w:ilvl w:val="0"/>
          <w:numId w:val="0"/>
        </w:numPr>
        <w:spacing w:before="120" w:after="120" w:line="288" w:lineRule="auto"/>
        <w:jc w:val="left"/>
        <w:rPr>
          <w:b w:val="0"/>
          <w:bCs/>
        </w:rPr>
      </w:pP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2.     水分≤6</w:t>
      </w:r>
      <w:r>
        <w:rPr>
          <w:rFonts w:ascii="Arial" w:hAnsi="Arial" w:eastAsia="等线" w:cs="Arial"/>
          <w:b w:val="0"/>
          <w:bCs/>
          <w:sz w:val="22"/>
        </w:rPr>
        <w:t>%</w:t>
      </w:r>
      <w:r>
        <w:rPr>
          <w:rFonts w:hint="eastAsia" w:ascii="Arial" w:hAnsi="Arial" w:eastAsia="等线" w:cs="Arial"/>
          <w:b w:val="0"/>
          <w:bCs/>
          <w:sz w:val="22"/>
          <w:lang w:eastAsia="zh-CN"/>
        </w:rPr>
        <w:t>，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每增加0.1%扣0.2元/吨；</w:t>
      </w:r>
    </w:p>
    <w:p w14:paraId="1BA90B12">
      <w:pPr>
        <w:numPr>
          <w:ilvl w:val="0"/>
          <w:numId w:val="0"/>
        </w:numPr>
        <w:spacing w:before="120" w:after="120" w:line="288" w:lineRule="auto"/>
        <w:jc w:val="left"/>
        <w:rPr>
          <w:b w:val="0"/>
          <w:bCs/>
        </w:rPr>
      </w:pP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3.     三氧化硫≥40</w:t>
      </w:r>
      <w:r>
        <w:rPr>
          <w:rFonts w:ascii="Arial" w:hAnsi="Arial" w:eastAsia="等线" w:cs="Arial"/>
          <w:b w:val="0"/>
          <w:bCs/>
          <w:sz w:val="22"/>
        </w:rPr>
        <w:t>%</w:t>
      </w:r>
      <w:r>
        <w:rPr>
          <w:rFonts w:hint="eastAsia" w:ascii="Arial" w:hAnsi="Arial" w:eastAsia="等线" w:cs="Arial"/>
          <w:b w:val="0"/>
          <w:bCs/>
          <w:sz w:val="22"/>
          <w:lang w:eastAsia="zh-CN"/>
        </w:rPr>
        <w:t>，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每降低0.1%扣0.2元/吨；</w:t>
      </w:r>
    </w:p>
    <w:p w14:paraId="6B87D9F0">
      <w:pPr>
        <w:numPr>
          <w:ilvl w:val="0"/>
          <w:numId w:val="0"/>
        </w:numPr>
        <w:spacing w:before="120" w:after="120" w:line="288" w:lineRule="auto"/>
        <w:jc w:val="left"/>
        <w:rPr>
          <w:b w:val="0"/>
          <w:bCs/>
        </w:rPr>
      </w:pP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 xml:space="preserve">4.      </w:t>
      </w:r>
      <w:r>
        <w:rPr>
          <w:rFonts w:ascii="Arial" w:hAnsi="Arial" w:eastAsia="等线" w:cs="Arial"/>
          <w:b w:val="0"/>
          <w:bCs/>
          <w:sz w:val="22"/>
        </w:rPr>
        <w:t>pH 值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≥7，每降低0.1，扣0.2元/吨；</w:t>
      </w:r>
    </w:p>
    <w:p w14:paraId="03D76C13">
      <w:pPr>
        <w:numPr>
          <w:ilvl w:val="0"/>
          <w:numId w:val="0"/>
        </w:numPr>
        <w:spacing w:before="120" w:after="120" w:line="288" w:lineRule="auto"/>
        <w:jc w:val="left"/>
        <w:rPr>
          <w:b w:val="0"/>
          <w:bCs/>
        </w:rPr>
      </w:pP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5.     氯离子</w:t>
      </w:r>
      <w:r>
        <w:rPr>
          <w:rFonts w:ascii="Arial" w:hAnsi="Arial" w:eastAsia="等线" w:cs="Arial"/>
          <w:b w:val="0"/>
          <w:bCs/>
          <w:sz w:val="22"/>
        </w:rPr>
        <w:t>≤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0.0</w:t>
      </w:r>
      <w:r>
        <w:rPr>
          <w:rFonts w:ascii="Arial" w:hAnsi="Arial" w:eastAsia="等线" w:cs="Arial"/>
          <w:b w:val="0"/>
          <w:bCs/>
          <w:sz w:val="22"/>
        </w:rPr>
        <w:t>5%</w:t>
      </w:r>
      <w:r>
        <w:rPr>
          <w:rFonts w:hint="eastAsia" w:ascii="Arial" w:hAnsi="Arial" w:eastAsia="等线" w:cs="Arial"/>
          <w:b w:val="0"/>
          <w:bCs/>
          <w:sz w:val="22"/>
          <w:lang w:eastAsia="zh-CN"/>
        </w:rPr>
        <w:t>，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每增加0.001%扣0.2元/吨；</w:t>
      </w:r>
    </w:p>
    <w:p w14:paraId="7727C98B"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Arial" w:hAnsi="Arial" w:eastAsia="等线" w:cs="Arial"/>
          <w:b w:val="0"/>
          <w:bCs/>
          <w:sz w:val="22"/>
          <w:lang w:val="en-US" w:eastAsia="zh-CN"/>
        </w:rPr>
      </w:pP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6.     降铬效果</w:t>
      </w:r>
      <w:r>
        <w:rPr>
          <w:rFonts w:ascii="Arial" w:hAnsi="Arial" w:eastAsia="等线" w:cs="Arial"/>
          <w:b w:val="0"/>
          <w:bCs/>
          <w:sz w:val="22"/>
        </w:rPr>
        <w:t>：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>掺加量3%，水泥中六价铬离子含量≤5mg/kg,2个月内水泥中六价铬离子≤8mg/kg（或在空气中放置15天内）；达不到效果停供。</w:t>
      </w:r>
    </w:p>
    <w:p w14:paraId="4B2275B1">
      <w:pPr>
        <w:numPr>
          <w:ilvl w:val="0"/>
          <w:numId w:val="0"/>
        </w:numPr>
        <w:spacing w:before="120" w:after="120" w:line="288" w:lineRule="auto"/>
        <w:jc w:val="left"/>
        <w:rPr>
          <w:rFonts w:hint="default" w:ascii="Arial" w:hAnsi="Arial" w:eastAsia="等线" w:cs="Arial"/>
          <w:b/>
          <w:bCs/>
          <w:sz w:val="22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lang w:val="en-US" w:eastAsia="zh-CN"/>
        </w:rPr>
        <w:t>作废标准</w:t>
      </w:r>
    </w:p>
    <w:p w14:paraId="7A906207">
      <w:pPr>
        <w:numPr>
          <w:ilvl w:val="0"/>
          <w:numId w:val="24"/>
        </w:numPr>
        <w:spacing w:before="120" w:after="120" w:line="288" w:lineRule="auto"/>
        <w:jc w:val="left"/>
        <w:rPr>
          <w:rFonts w:hint="default" w:eastAsiaTheme="minorEastAsia"/>
          <w:b w:val="0"/>
          <w:bCs/>
          <w:lang w:val="en-US" w:eastAsia="zh-CN"/>
        </w:rPr>
      </w:pPr>
      <w:r>
        <w:rPr>
          <w:rFonts w:hint="eastAsia" w:ascii="Arial" w:hAnsi="Arial" w:eastAsia="等线" w:cs="Arial"/>
          <w:b/>
          <w:sz w:val="22"/>
          <w:lang w:val="en-US" w:eastAsia="zh-CN"/>
        </w:rPr>
        <w:t xml:space="preserve">  </w:t>
      </w:r>
      <w:r>
        <w:rPr>
          <w:rFonts w:hint="eastAsia" w:ascii="Arial" w:hAnsi="Arial" w:eastAsia="等线" w:cs="Arial"/>
          <w:b w:val="0"/>
          <w:bCs/>
          <w:sz w:val="22"/>
          <w:lang w:val="en-US" w:eastAsia="zh-CN"/>
        </w:rPr>
        <w:t xml:space="preserve">  三氧化硫＜35%；</w:t>
      </w:r>
    </w:p>
    <w:p w14:paraId="59EFC1F9">
      <w:pPr>
        <w:numPr>
          <w:ilvl w:val="0"/>
          <w:numId w:val="24"/>
        </w:numPr>
        <w:spacing w:before="120" w:after="120" w:line="288" w:lineRule="auto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氯离子＞0.06%。</w:t>
      </w:r>
    </w:p>
    <w:p w14:paraId="7EB194CB">
      <w:pPr>
        <w:numPr>
          <w:ilvl w:val="0"/>
          <w:numId w:val="24"/>
        </w:numPr>
        <w:spacing w:before="120" w:after="120" w:line="288" w:lineRule="auto"/>
        <w:jc w:val="left"/>
        <w:rPr>
          <w:rFonts w:hint="default"/>
          <w:lang w:val="en-US" w:eastAsia="zh-CN"/>
        </w:rPr>
      </w:pPr>
      <w:r>
        <w:rPr>
          <w:rFonts w:hint="eastAsia" w:ascii="Arial" w:hAnsi="Arial" w:eastAsia="等线" w:cs="Arial"/>
          <w:sz w:val="22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作废是指整车全部作废，包括货款、运费均不予结算</w:t>
      </w:r>
    </w:p>
    <w:p w14:paraId="7C939291">
      <w:pPr>
        <w:spacing w:before="320" w:after="120" w:line="288" w:lineRule="auto"/>
        <w:ind w:left="0"/>
        <w:jc w:val="left"/>
        <w:outlineLvl w:val="1"/>
      </w:pPr>
      <w:bookmarkStart w:id="11" w:name="heading_11"/>
      <w:r>
        <w:rPr>
          <w:rFonts w:ascii="Arial" w:hAnsi="Arial" w:eastAsia="等线" w:cs="Arial"/>
          <w:b/>
          <w:sz w:val="32"/>
        </w:rPr>
        <w:t>第四章 报价方式与投标文件要求</w:t>
      </w:r>
      <w:bookmarkEnd w:id="11"/>
    </w:p>
    <w:p w14:paraId="3B193A6E">
      <w:pPr>
        <w:spacing w:before="300" w:after="120" w:line="288" w:lineRule="auto"/>
        <w:ind w:left="0"/>
        <w:jc w:val="left"/>
        <w:outlineLvl w:val="2"/>
      </w:pPr>
      <w:bookmarkStart w:id="12" w:name="heading_13"/>
      <w:r>
        <w:rPr>
          <w:rFonts w:hint="eastAsia" w:ascii="Arial" w:hAnsi="Arial" w:eastAsia="等线" w:cs="Arial"/>
          <w:b/>
          <w:sz w:val="30"/>
          <w:lang w:val="en-US" w:eastAsia="zh-CN"/>
        </w:rPr>
        <w:t>一</w:t>
      </w:r>
      <w:r>
        <w:rPr>
          <w:rFonts w:ascii="Arial" w:hAnsi="Arial" w:eastAsia="等线" w:cs="Arial"/>
          <w:b/>
          <w:sz w:val="30"/>
        </w:rPr>
        <w:t>、投标文件组成（按顺序装订）</w:t>
      </w:r>
      <w:bookmarkEnd w:id="12"/>
    </w:p>
    <w:p w14:paraId="10F00607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投标函、法定代表人授权书</w:t>
      </w:r>
    </w:p>
    <w:p w14:paraId="370680D9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营业执照及资质证件</w:t>
      </w:r>
    </w:p>
    <w:p w14:paraId="0BA64777">
      <w:pPr>
        <w:numPr>
          <w:ilvl w:val="0"/>
          <w:numId w:val="26"/>
        </w:numPr>
        <w:spacing w:before="120" w:after="120" w:line="288" w:lineRule="auto"/>
        <w:ind w:left="0" w:leftChars="0" w:firstLine="0" w:firstLineChars="0"/>
        <w:jc w:val="left"/>
      </w:pPr>
      <w:r>
        <w:rPr>
          <w:rFonts w:ascii="Arial" w:hAnsi="Arial" w:eastAsia="等线" w:cs="Arial"/>
          <w:sz w:val="22"/>
        </w:rPr>
        <w:t>产品检测报告</w:t>
      </w:r>
    </w:p>
    <w:p w14:paraId="6FD547BE">
      <w:pPr>
        <w:numPr>
          <w:ilvl w:val="0"/>
          <w:numId w:val="26"/>
        </w:numPr>
        <w:spacing w:before="120" w:after="120" w:line="288" w:lineRule="auto"/>
        <w:ind w:left="0" w:leftChars="0" w:firstLine="0" w:firstLineChars="0"/>
        <w:jc w:val="left"/>
      </w:pPr>
      <w:r>
        <w:rPr>
          <w:rFonts w:ascii="Arial" w:hAnsi="Arial" w:eastAsia="等线" w:cs="Arial"/>
          <w:sz w:val="22"/>
        </w:rPr>
        <w:t>详细报价单（</w:t>
      </w:r>
      <w:r>
        <w:rPr>
          <w:rFonts w:hint="eastAsia" w:ascii="Arial" w:hAnsi="Arial" w:eastAsia="等线" w:cs="Arial"/>
          <w:sz w:val="22"/>
          <w:lang w:val="en-US" w:eastAsia="zh-CN"/>
        </w:rPr>
        <w:t>固定模板</w:t>
      </w:r>
      <w:r>
        <w:rPr>
          <w:rFonts w:ascii="Arial" w:hAnsi="Arial" w:eastAsia="等线" w:cs="Arial"/>
          <w:sz w:val="22"/>
        </w:rPr>
        <w:t>）</w:t>
      </w:r>
    </w:p>
    <w:p w14:paraId="2469D651">
      <w:pPr>
        <w:numPr>
          <w:ilvl w:val="0"/>
          <w:numId w:val="26"/>
        </w:numPr>
        <w:spacing w:before="120" w:after="120" w:line="288" w:lineRule="auto"/>
        <w:ind w:left="0" w:leftChars="0" w:firstLine="0" w:firstLineChars="0"/>
        <w:jc w:val="left"/>
      </w:pPr>
      <w:r>
        <w:rPr>
          <w:rFonts w:ascii="Arial" w:hAnsi="Arial" w:eastAsia="等线" w:cs="Arial"/>
          <w:sz w:val="22"/>
        </w:rPr>
        <w:t>未按要求密封、逾期递交、资料不全</w:t>
      </w:r>
      <w:r>
        <w:rPr>
          <w:rFonts w:ascii="Arial" w:hAnsi="Arial" w:eastAsia="等线" w:cs="Arial"/>
          <w:b w:val="0"/>
          <w:bCs/>
          <w:sz w:val="22"/>
        </w:rPr>
        <w:t>直接废标</w:t>
      </w:r>
      <w:r>
        <w:rPr>
          <w:rFonts w:ascii="Arial" w:hAnsi="Arial" w:eastAsia="等线" w:cs="Arial"/>
          <w:sz w:val="22"/>
        </w:rPr>
        <w:t>。</w:t>
      </w:r>
    </w:p>
    <w:p w14:paraId="59F06C6D">
      <w:pPr>
        <w:pBdr>
          <w:bottom w:val="single" w:color="DEE0E3" w:sz="2" w:space="0"/>
          <w:between w:val="single" w:color="DEE0E3" w:sz="2" w:space="0"/>
        </w:pBdr>
        <w:spacing w:before="120" w:after="120" w:line="288" w:lineRule="auto"/>
        <w:ind w:left="0"/>
      </w:pPr>
    </w:p>
    <w:p w14:paraId="5CC39EBC">
      <w:pPr>
        <w:spacing w:before="320" w:after="120" w:line="288" w:lineRule="auto"/>
        <w:ind w:left="0"/>
        <w:jc w:val="left"/>
        <w:outlineLvl w:val="1"/>
      </w:pPr>
      <w:bookmarkStart w:id="13" w:name="heading_15"/>
      <w:r>
        <w:rPr>
          <w:rFonts w:ascii="Arial" w:hAnsi="Arial" w:eastAsia="等线" w:cs="Arial"/>
          <w:b/>
          <w:sz w:val="32"/>
        </w:rPr>
        <w:t>第五章 供货、验收与结算方式</w:t>
      </w:r>
      <w:bookmarkEnd w:id="13"/>
    </w:p>
    <w:p w14:paraId="080C3E7E">
      <w:pPr>
        <w:spacing w:before="300" w:after="120" w:line="288" w:lineRule="auto"/>
        <w:ind w:left="0"/>
        <w:jc w:val="left"/>
        <w:outlineLvl w:val="2"/>
      </w:pPr>
      <w:bookmarkStart w:id="14" w:name="heading_16"/>
      <w:r>
        <w:rPr>
          <w:rFonts w:ascii="Arial" w:hAnsi="Arial" w:eastAsia="等线" w:cs="Arial"/>
          <w:b/>
          <w:sz w:val="30"/>
        </w:rPr>
        <w:t>一、供货要求</w:t>
      </w:r>
      <w:bookmarkEnd w:id="14"/>
    </w:p>
    <w:p w14:paraId="66104734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甲方提前 1–3 天下达供货计划，乙方必须按时按量到货。</w:t>
      </w:r>
    </w:p>
    <w:p w14:paraId="5DF6E1DB">
      <w:pPr>
        <w:numPr>
          <w:ilvl w:val="0"/>
          <w:numId w:val="27"/>
        </w:numPr>
        <w:spacing w:before="120" w:after="120" w:line="288" w:lineRule="auto"/>
        <w:ind w:left="0" w:leftChars="0" w:firstLine="0" w:firstLineChars="0"/>
        <w:jc w:val="left"/>
      </w:pPr>
      <w:r>
        <w:rPr>
          <w:rFonts w:ascii="Arial" w:hAnsi="Arial" w:eastAsia="等线" w:cs="Arial"/>
          <w:sz w:val="22"/>
        </w:rPr>
        <w:t>运输车辆密闭运输，杜绝沿途抛洒、扬尘，符合环保运输要求。</w:t>
      </w:r>
    </w:p>
    <w:p w14:paraId="75E82B9E">
      <w:pPr>
        <w:spacing w:before="300" w:after="120" w:line="288" w:lineRule="auto"/>
        <w:ind w:left="0"/>
        <w:jc w:val="left"/>
        <w:outlineLvl w:val="2"/>
      </w:pPr>
      <w:bookmarkStart w:id="15" w:name="heading_17"/>
      <w:r>
        <w:rPr>
          <w:rFonts w:ascii="Arial" w:hAnsi="Arial" w:eastAsia="等线" w:cs="Arial"/>
          <w:b/>
          <w:sz w:val="30"/>
        </w:rPr>
        <w:t>二、现场验收</w:t>
      </w:r>
      <w:bookmarkEnd w:id="15"/>
    </w:p>
    <w:p w14:paraId="546A9FBB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每车到场</w:t>
      </w:r>
      <w:r>
        <w:rPr>
          <w:rFonts w:ascii="Arial" w:hAnsi="Arial" w:eastAsia="等线" w:cs="Arial"/>
          <w:b/>
          <w:sz w:val="22"/>
        </w:rPr>
        <w:t>过磅称重、现场抽样</w:t>
      </w:r>
      <w:r>
        <w:rPr>
          <w:rFonts w:ascii="Arial" w:hAnsi="Arial" w:eastAsia="等线" w:cs="Arial"/>
          <w:sz w:val="22"/>
        </w:rPr>
        <w:t>。</w:t>
      </w:r>
    </w:p>
    <w:p w14:paraId="520DF5BB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外观、杂质、水分现场初验，不合格直接退回。</w:t>
      </w:r>
    </w:p>
    <w:p w14:paraId="040DF3C3">
      <w:pPr>
        <w:numPr>
          <w:ilvl w:val="0"/>
          <w:numId w:val="29"/>
        </w:numPr>
        <w:spacing w:before="120" w:after="120" w:line="288" w:lineRule="auto"/>
        <w:ind w:left="0" w:leftChars="0" w:firstLine="0" w:firstLineChars="0"/>
        <w:jc w:val="left"/>
      </w:pPr>
      <w:r>
        <w:rPr>
          <w:rFonts w:ascii="Arial" w:hAnsi="Arial" w:eastAsia="等线" w:cs="Arial"/>
          <w:sz w:val="22"/>
        </w:rPr>
        <w:t>取样、复检、留样全程可追溯。</w:t>
      </w:r>
    </w:p>
    <w:p w14:paraId="57A313A9">
      <w:pPr>
        <w:spacing w:before="320" w:after="120" w:line="288" w:lineRule="auto"/>
        <w:ind w:left="0"/>
        <w:jc w:val="left"/>
        <w:outlineLvl w:val="1"/>
      </w:pPr>
      <w:bookmarkStart w:id="16" w:name="heading_19"/>
      <w:r>
        <w:rPr>
          <w:rFonts w:ascii="Arial" w:hAnsi="Arial" w:eastAsia="等线" w:cs="Arial"/>
          <w:b/>
          <w:sz w:val="32"/>
        </w:rPr>
        <w:t>第六章 废标、拒收、违约条款</w:t>
      </w:r>
      <w:bookmarkEnd w:id="16"/>
    </w:p>
    <w:p w14:paraId="5D396161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弄虚作假、伪造检测报告、伪造业绩，</w:t>
      </w:r>
      <w:r>
        <w:rPr>
          <w:rFonts w:ascii="Arial" w:hAnsi="Arial" w:eastAsia="等线" w:cs="Arial"/>
          <w:b/>
          <w:sz w:val="22"/>
        </w:rPr>
        <w:t>直接废标、列入黑名单</w:t>
      </w:r>
      <w:r>
        <w:rPr>
          <w:rFonts w:ascii="Arial" w:hAnsi="Arial" w:eastAsia="等线" w:cs="Arial"/>
          <w:sz w:val="22"/>
        </w:rPr>
        <w:t>。</w:t>
      </w:r>
    </w:p>
    <w:p w14:paraId="7F5DA01A">
      <w:pPr>
        <w:numPr>
          <w:ilvl w:val="0"/>
          <w:numId w:val="30"/>
        </w:numPr>
        <w:spacing w:before="120" w:after="120" w:line="288" w:lineRule="auto"/>
        <w:ind w:left="0" w:leftChars="0" w:firstLine="0" w:firstLineChars="0"/>
        <w:jc w:val="left"/>
      </w:pPr>
      <w:r>
        <w:rPr>
          <w:rFonts w:ascii="Arial" w:hAnsi="Arial" w:eastAsia="等线" w:cs="Arial"/>
          <w:sz w:val="22"/>
        </w:rPr>
        <w:t>掺杂杂物、危废、污染物料，无条件退货并承担甲方损失。</w:t>
      </w:r>
    </w:p>
    <w:p w14:paraId="3ED298EE">
      <w:pPr>
        <w:spacing w:before="120" w:after="120" w:line="288" w:lineRule="auto"/>
        <w:ind w:left="0"/>
        <w:jc w:val="left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DC5F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C069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singleLevel"/>
    <w:tmpl w:val="9239341B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">
    <w:nsid w:val="97F6D873"/>
    <w:multiLevelType w:val="singleLevel"/>
    <w:tmpl w:val="97F6D87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0F05207"/>
    <w:multiLevelType w:val="singleLevel"/>
    <w:tmpl w:val="A0F05207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3">
    <w:nsid w:val="B0F1ACD9"/>
    <w:multiLevelType w:val="singleLevel"/>
    <w:tmpl w:val="B0F1ACD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4">
    <w:nsid w:val="B5E306ED"/>
    <w:multiLevelType w:val="singleLevel"/>
    <w:tmpl w:val="B5E306ED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5">
    <w:nsid w:val="BF205925"/>
    <w:multiLevelType w:val="singleLevel"/>
    <w:tmpl w:val="BF20592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6">
    <w:nsid w:val="C4E0D24A"/>
    <w:multiLevelType w:val="singleLevel"/>
    <w:tmpl w:val="C4E0D24A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7">
    <w:nsid w:val="C8879AEF"/>
    <w:multiLevelType w:val="singleLevel"/>
    <w:tmpl w:val="C8879AEF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8">
    <w:nsid w:val="CF092B84"/>
    <w:multiLevelType w:val="singleLevel"/>
    <w:tmpl w:val="CF092B84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9">
    <w:nsid w:val="D7D140E4"/>
    <w:multiLevelType w:val="singleLevel"/>
    <w:tmpl w:val="D7D140E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0">
    <w:nsid w:val="D7F9FE59"/>
    <w:multiLevelType w:val="singleLevel"/>
    <w:tmpl w:val="D7F9FE5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1">
    <w:nsid w:val="DCBA6B53"/>
    <w:multiLevelType w:val="singleLevel"/>
    <w:tmpl w:val="DCBA6B5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2">
    <w:nsid w:val="E525A92B"/>
    <w:multiLevelType w:val="singleLevel"/>
    <w:tmpl w:val="E525A92B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F4B5D9F5"/>
    <w:multiLevelType w:val="singleLevel"/>
    <w:tmpl w:val="F4B5D9F5"/>
    <w:lvl w:ilvl="0" w:tentative="0">
      <w:start w:val="4"/>
      <w:numFmt w:val="decimal"/>
      <w:lvlText w:val="%1."/>
      <w:lvlJc w:val="left"/>
      <w:rPr>
        <w:color w:val="3370FF"/>
      </w:rPr>
    </w:lvl>
  </w:abstractNum>
  <w:abstractNum w:abstractNumId="14">
    <w:nsid w:val="F689643B"/>
    <w:multiLevelType w:val="singleLevel"/>
    <w:tmpl w:val="F689643B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5">
    <w:nsid w:val="F7735DC9"/>
    <w:multiLevelType w:val="singleLevel"/>
    <w:tmpl w:val="F7735DC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16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7">
    <w:nsid w:val="0248C179"/>
    <w:multiLevelType w:val="singleLevel"/>
    <w:tmpl w:val="0248C179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18">
    <w:nsid w:val="12EADF99"/>
    <w:multiLevelType w:val="singleLevel"/>
    <w:tmpl w:val="12EADF99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19">
    <w:nsid w:val="2470EC97"/>
    <w:multiLevelType w:val="singleLevel"/>
    <w:tmpl w:val="2470EC97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0">
    <w:nsid w:val="25B654F3"/>
    <w:multiLevelType w:val="singleLevel"/>
    <w:tmpl w:val="25B654F3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1">
    <w:nsid w:val="2A8F537B"/>
    <w:multiLevelType w:val="singleLevel"/>
    <w:tmpl w:val="2A8F537B"/>
    <w:lvl w:ilvl="0" w:tentative="0">
      <w:start w:val="5"/>
      <w:numFmt w:val="decimal"/>
      <w:lvlText w:val="%1."/>
      <w:lvlJc w:val="left"/>
      <w:rPr>
        <w:color w:val="3370FF"/>
      </w:rPr>
    </w:lvl>
  </w:abstractNum>
  <w:abstractNum w:abstractNumId="22">
    <w:nsid w:val="32A7AF2D"/>
    <w:multiLevelType w:val="singleLevel"/>
    <w:tmpl w:val="32A7AF2D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3">
    <w:nsid w:val="46A08BB8"/>
    <w:multiLevelType w:val="singleLevel"/>
    <w:tmpl w:val="46A08BB8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4">
    <w:nsid w:val="4D4DC07F"/>
    <w:multiLevelType w:val="singleLevel"/>
    <w:tmpl w:val="4D4DC07F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5">
    <w:nsid w:val="4D94DA66"/>
    <w:multiLevelType w:val="singleLevel"/>
    <w:tmpl w:val="4D94DA66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6">
    <w:nsid w:val="59ADCABA"/>
    <w:multiLevelType w:val="singleLevel"/>
    <w:tmpl w:val="59ADCABA"/>
    <w:lvl w:ilvl="0" w:tentative="0">
      <w:start w:val="3"/>
      <w:numFmt w:val="decimal"/>
      <w:lvlText w:val="%1."/>
      <w:lvlJc w:val="left"/>
      <w:rPr>
        <w:color w:val="3370FF"/>
      </w:rPr>
    </w:lvl>
  </w:abstractNum>
  <w:abstractNum w:abstractNumId="27">
    <w:nsid w:val="5A241D34"/>
    <w:multiLevelType w:val="singleLevel"/>
    <w:tmpl w:val="5A241D34"/>
    <w:lvl w:ilvl="0" w:tentative="0">
      <w:start w:val="1"/>
      <w:numFmt w:val="decimal"/>
      <w:lvlText w:val="%1."/>
      <w:lvlJc w:val="left"/>
      <w:rPr>
        <w:color w:val="3370FF"/>
      </w:rPr>
    </w:lvl>
  </w:abstractNum>
  <w:abstractNum w:abstractNumId="28">
    <w:nsid w:val="72183CF9"/>
    <w:multiLevelType w:val="singleLevel"/>
    <w:tmpl w:val="72183CF9"/>
    <w:lvl w:ilvl="0" w:tentative="0">
      <w:start w:val="2"/>
      <w:numFmt w:val="decimal"/>
      <w:lvlText w:val="%1."/>
      <w:lvlJc w:val="left"/>
      <w:rPr>
        <w:color w:val="3370FF"/>
      </w:rPr>
    </w:lvl>
  </w:abstractNum>
  <w:abstractNum w:abstractNumId="29">
    <w:nsid w:val="7C246926"/>
    <w:multiLevelType w:val="singleLevel"/>
    <w:tmpl w:val="7C246926"/>
    <w:lvl w:ilvl="0" w:tentative="0">
      <w:start w:val="3"/>
      <w:numFmt w:val="decimal"/>
      <w:lvlText w:val="%1."/>
      <w:lvlJc w:val="left"/>
      <w:rPr>
        <w:color w:val="3370FF"/>
      </w:rPr>
    </w:lvl>
  </w:abstractNum>
  <w:num w:numId="1">
    <w:abstractNumId w:val="16"/>
  </w:num>
  <w:num w:numId="2">
    <w:abstractNumId w:val="8"/>
  </w:num>
  <w:num w:numId="3">
    <w:abstractNumId w:val="26"/>
  </w:num>
  <w:num w:numId="4">
    <w:abstractNumId w:val="5"/>
  </w:num>
  <w:num w:numId="5">
    <w:abstractNumId w:val="4"/>
  </w:num>
  <w:num w:numId="6">
    <w:abstractNumId w:val="20"/>
  </w:num>
  <w:num w:numId="7">
    <w:abstractNumId w:val="28"/>
  </w:num>
  <w:num w:numId="8">
    <w:abstractNumId w:val="17"/>
  </w:num>
  <w:num w:numId="9">
    <w:abstractNumId w:val="0"/>
  </w:num>
  <w:num w:numId="10">
    <w:abstractNumId w:val="21"/>
  </w:num>
  <w:num w:numId="11">
    <w:abstractNumId w:val="27"/>
  </w:num>
  <w:num w:numId="12">
    <w:abstractNumId w:val="7"/>
  </w:num>
  <w:num w:numId="13">
    <w:abstractNumId w:val="24"/>
  </w:num>
  <w:num w:numId="14">
    <w:abstractNumId w:val="13"/>
  </w:num>
  <w:num w:numId="15">
    <w:abstractNumId w:val="19"/>
  </w:num>
  <w:num w:numId="16">
    <w:abstractNumId w:val="11"/>
  </w:num>
  <w:num w:numId="17">
    <w:abstractNumId w:val="10"/>
  </w:num>
  <w:num w:numId="18">
    <w:abstractNumId w:val="23"/>
  </w:num>
  <w:num w:numId="19">
    <w:abstractNumId w:val="3"/>
  </w:num>
  <w:num w:numId="20">
    <w:abstractNumId w:val="29"/>
  </w:num>
  <w:num w:numId="21">
    <w:abstractNumId w:val="1"/>
  </w:num>
  <w:num w:numId="22">
    <w:abstractNumId w:val="25"/>
  </w:num>
  <w:num w:numId="23">
    <w:abstractNumId w:val="15"/>
  </w:num>
  <w:num w:numId="24">
    <w:abstractNumId w:val="12"/>
  </w:num>
  <w:num w:numId="25">
    <w:abstractNumId w:val="9"/>
  </w:num>
  <w:num w:numId="26">
    <w:abstractNumId w:val="22"/>
  </w:num>
  <w:num w:numId="27">
    <w:abstractNumId w:val="18"/>
  </w:num>
  <w:num w:numId="28">
    <w:abstractNumId w:val="2"/>
  </w:num>
  <w:num w:numId="29">
    <w:abstractNumId w:val="14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1A860412"/>
    <w:rsid w:val="20626254"/>
    <w:rsid w:val="272F0325"/>
    <w:rsid w:val="71E03C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line="460" w:lineRule="exact"/>
      <w:ind w:firstLine="570"/>
    </w:pPr>
    <w:rPr>
      <w:b/>
      <w:bCs/>
      <w:sz w:val="28"/>
      <w:szCs w:val="20"/>
    </w:rPr>
  </w:style>
  <w:style w:type="paragraph" w:styleId="3">
    <w:name w:val="Body Text First Indent 2"/>
    <w:basedOn w:val="2"/>
    <w:qFormat/>
    <w:uiPriority w:val="99"/>
    <w:rPr>
      <w:rFonts w:hint="eastAsia" w:ascii="宋体" w:hAnsi="宋体"/>
      <w:spacing w:val="-4"/>
      <w:szCs w:val="20"/>
    </w:rPr>
  </w:style>
  <w:style w:type="paragraph" w:customStyle="1" w:styleId="6">
    <w:name w:val="NormalIndent"/>
    <w:qFormat/>
    <w:uiPriority w:val="0"/>
    <w:pPr>
      <w:ind w:firstLine="630"/>
      <w:jc w:val="both"/>
      <w:textAlignment w:val="baseline"/>
    </w:pPr>
    <w:rPr>
      <w:rFonts w:ascii="Times New Roman" w:hAnsi="Times New Roman" w:eastAsia="宋体" w:cs="宋体"/>
      <w:sz w:val="18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1456</Words>
  <Characters>1605</Characters>
  <TotalTime>1</TotalTime>
  <ScaleCrop>false</ScaleCrop>
  <LinksUpToDate>false</LinksUpToDate>
  <CharactersWithSpaces>1700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2026-08-31T04:18:00Z</dcterms:created>
  <dc:creator>Apache POI</dc:creator>
  <cp:lastModifiedBy>周杰龙</cp:lastModifiedBy>
  <dcterms:modified xsi:type="dcterms:W3CDTF">2026-09-05T09:59:41Z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{"Label":"1","ContentProducer":"001191110102MACQD9K64010000","ProduceID":"7680045404646296796","ReservedCode1":"","ContentPropagator":"","PropagateID":"","ReservedCode2":""}</vt:lpwstr>
  </property>
  <property fmtid="{D5CDD505-2E9C-101B-9397-08002B2CF9AE}" pid="3" name="KSOTemplateDocerSaveRecord">
    <vt:lpwstr>eyJoZGlkIjoiMjkzYmU3NmQ2NjA1ZGJiM2ExMmVjMDE2YjlmMDRhNTYiLCJ1c2VySWQiOiI2MDM4Njc0MjAifQ==</vt:lpwstr>
  </property>
  <property fmtid="{D5CDD505-2E9C-101B-9397-08002B2CF9AE}" pid="4" name="KSOProductBuildVer">
    <vt:lpwstr>2052-12.1.0.28505</vt:lpwstr>
  </property>
  <property fmtid="{D5CDD505-2E9C-101B-9397-08002B2CF9AE}" pid="5" name="ICV">
    <vt:lpwstr>DB72B13BC5BA49C28F93630D918E6428_12</vt:lpwstr>
  </property>
</Properties>
</file>